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7AB40" w14:textId="77777777" w:rsidR="002C367D" w:rsidRPr="002C367D" w:rsidRDefault="002C367D" w:rsidP="002C367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C367D">
        <w:rPr>
          <w:rFonts w:ascii="Arial" w:eastAsia="Times New Roman" w:hAnsi="Arial" w:cs="Arial"/>
          <w:sz w:val="20"/>
          <w:szCs w:val="20"/>
          <w:lang w:eastAsia="ru-RU"/>
        </w:rPr>
        <w:t>Приложение № 27</w:t>
      </w:r>
    </w:p>
    <w:p w14:paraId="4151A7EB" w14:textId="77777777" w:rsidR="002C367D" w:rsidRPr="002C367D" w:rsidRDefault="002C367D" w:rsidP="002C367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C367D">
        <w:rPr>
          <w:rFonts w:ascii="Arial" w:eastAsia="Times New Roman" w:hAnsi="Arial" w:cs="Arial"/>
          <w:sz w:val="20"/>
          <w:szCs w:val="20"/>
          <w:lang w:eastAsia="ru-RU"/>
        </w:rPr>
        <w:t xml:space="preserve"> к Условиям осуществления </w:t>
      </w:r>
    </w:p>
    <w:p w14:paraId="74A3AAE6" w14:textId="77777777" w:rsidR="002C367D" w:rsidRPr="002C367D" w:rsidRDefault="002C367D" w:rsidP="002C367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C367D">
        <w:rPr>
          <w:rFonts w:ascii="Arial" w:eastAsia="Times New Roman" w:hAnsi="Arial" w:cs="Arial"/>
          <w:sz w:val="20"/>
          <w:szCs w:val="20"/>
          <w:lang w:eastAsia="ru-RU"/>
        </w:rPr>
        <w:t>депозитарной деятельности</w:t>
      </w:r>
    </w:p>
    <w:p w14:paraId="45E0332A" w14:textId="77777777" w:rsidR="002C367D" w:rsidRPr="002C367D" w:rsidRDefault="002C367D" w:rsidP="002C367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C367D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2C367D">
        <w:rPr>
          <w:rFonts w:ascii="Arial" w:hAnsi="Arial" w:cs="Arial"/>
          <w:color w:val="000000"/>
          <w:sz w:val="20"/>
          <w:szCs w:val="20"/>
        </w:rPr>
        <w:t>ООО ИК «САВ Капитал»</w:t>
      </w:r>
    </w:p>
    <w:p w14:paraId="4517A49B" w14:textId="77777777" w:rsidR="002C367D" w:rsidRPr="00156408" w:rsidRDefault="002C367D" w:rsidP="002C367D">
      <w:pPr>
        <w:rPr>
          <w:rFonts w:ascii="Arial" w:hAnsi="Arial" w:cs="Arial"/>
          <w:sz w:val="20"/>
          <w:szCs w:val="20"/>
        </w:rPr>
      </w:pPr>
    </w:p>
    <w:p w14:paraId="371299B0" w14:textId="77777777" w:rsidR="00E2040B" w:rsidRPr="003D7DB6" w:rsidRDefault="002C367D" w:rsidP="00156408">
      <w:pPr>
        <w:jc w:val="center"/>
        <w:rPr>
          <w:rFonts w:ascii="Arial" w:hAnsi="Arial" w:cs="Arial"/>
          <w:b/>
          <w:sz w:val="20"/>
          <w:szCs w:val="20"/>
        </w:rPr>
      </w:pPr>
      <w:r w:rsidRPr="005257E9">
        <w:rPr>
          <w:rFonts w:ascii="Arial" w:hAnsi="Arial" w:cs="Arial"/>
          <w:b/>
          <w:sz w:val="20"/>
          <w:szCs w:val="20"/>
        </w:rPr>
        <w:t>Тарифы ООО ИК «САВ Капитал» за оказание депозитарных услуг</w:t>
      </w:r>
      <w:r w:rsidR="00594D90" w:rsidRPr="005257E9">
        <w:rPr>
          <w:rFonts w:ascii="Arial" w:hAnsi="Arial" w:cs="Arial"/>
          <w:b/>
          <w:sz w:val="20"/>
          <w:szCs w:val="20"/>
        </w:rPr>
        <w:t xml:space="preserve"> для физических и юридических лиц</w:t>
      </w:r>
    </w:p>
    <w:tbl>
      <w:tblPr>
        <w:tblW w:w="10044" w:type="dxa"/>
        <w:tblInd w:w="-31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3390"/>
        <w:gridCol w:w="1997"/>
        <w:gridCol w:w="167"/>
        <w:gridCol w:w="3518"/>
        <w:gridCol w:w="272"/>
        <w:gridCol w:w="274"/>
      </w:tblGrid>
      <w:tr w:rsidR="00967072" w:rsidRPr="005257E9" w14:paraId="0E5D7626" w14:textId="77777777" w:rsidTr="00490DDC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EC46F" w14:textId="77777777" w:rsidR="00967072" w:rsidRPr="00490DDC" w:rsidRDefault="00490DDC" w:rsidP="0052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90D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CBCF" w14:textId="77777777" w:rsidR="00967072" w:rsidRPr="00490DDC" w:rsidRDefault="00967072" w:rsidP="0052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90D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>Услуга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BD35" w14:textId="77777777" w:rsidR="00967072" w:rsidRPr="00490DDC" w:rsidRDefault="00967072" w:rsidP="005257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490D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>Стоимость услуги (руб.)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8181" w14:textId="77777777" w:rsidR="00967072" w:rsidRPr="002C367D" w:rsidRDefault="00967072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173D" w14:textId="77777777" w:rsidR="00967072" w:rsidRPr="002C367D" w:rsidRDefault="00967072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7072" w:rsidRPr="005257E9" w14:paraId="1D0F1F39" w14:textId="77777777" w:rsidTr="00490DDC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545D" w14:textId="77777777" w:rsidR="00967072" w:rsidRPr="002C367D" w:rsidRDefault="00967072" w:rsidP="00587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5557" w14:textId="77777777" w:rsidR="00967072" w:rsidRPr="002C367D" w:rsidRDefault="00967072" w:rsidP="00587A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D779" w14:textId="77777777" w:rsidR="00967072" w:rsidRPr="002C367D" w:rsidRDefault="00967072" w:rsidP="00587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3A51" w14:textId="77777777" w:rsidR="00967072" w:rsidRPr="002C367D" w:rsidRDefault="00967072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E47B" w14:textId="77777777" w:rsidR="00967072" w:rsidRPr="002C367D" w:rsidRDefault="00967072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7072" w:rsidRPr="005257E9" w14:paraId="320596C4" w14:textId="77777777" w:rsidTr="00D701B1">
        <w:trPr>
          <w:trHeight w:val="8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DB2" w14:textId="77777777" w:rsidR="00967072" w:rsidRPr="002C367D" w:rsidRDefault="00490DDC" w:rsidP="004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C426" w14:textId="77777777" w:rsidR="00967072" w:rsidRPr="002C367D" w:rsidRDefault="00967072" w:rsidP="00D701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C36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Открытие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2C36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чета депо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/Субсчета депо</w:t>
            </w:r>
            <w:r w:rsidRPr="002C36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, закрытие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2C36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чета депо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/Субсчета депо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C184" w14:textId="77777777" w:rsidR="00967072" w:rsidRPr="00B8144A" w:rsidRDefault="00967072" w:rsidP="00D70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6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 взимания комиссии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2CB61" w14:textId="77777777" w:rsidR="00967072" w:rsidRPr="002C367D" w:rsidRDefault="00967072" w:rsidP="00587A1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2C367D">
              <w:rPr>
                <w:rFonts w:ascii="Arial" w:eastAsia="Times New Roman" w:hAnsi="Arial" w:cs="Arial"/>
                <w:color w:val="FF0000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2DC3" w14:textId="77777777" w:rsidR="00967072" w:rsidRPr="002C367D" w:rsidRDefault="00967072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7072" w:rsidRPr="005257E9" w14:paraId="13A60ADE" w14:textId="77777777" w:rsidTr="00D701B1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99AC" w14:textId="77777777" w:rsidR="00967072" w:rsidRPr="002C367D" w:rsidRDefault="00490DDC" w:rsidP="004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255E" w14:textId="77777777" w:rsidR="00967072" w:rsidRPr="002C367D" w:rsidRDefault="00967072" w:rsidP="00D701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C36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Назначение/отмена попечителя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2C36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чета депо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3E5F" w14:textId="77777777" w:rsidR="00967072" w:rsidRPr="002C367D" w:rsidRDefault="00967072" w:rsidP="00D70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6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 взимания комиссии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09755" w14:textId="77777777" w:rsidR="00967072" w:rsidRPr="002C367D" w:rsidRDefault="00967072" w:rsidP="00587A1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2C367D">
              <w:rPr>
                <w:rFonts w:ascii="Arial" w:eastAsia="Times New Roman" w:hAnsi="Arial" w:cs="Arial"/>
                <w:color w:val="FF0000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6309" w14:textId="77777777" w:rsidR="00967072" w:rsidRPr="002C367D" w:rsidRDefault="00967072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7072" w:rsidRPr="005257E9" w14:paraId="4D02E492" w14:textId="77777777" w:rsidTr="00D701B1">
        <w:trPr>
          <w:trHeight w:val="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9BC5" w14:textId="77777777" w:rsidR="00967072" w:rsidRPr="002C367D" w:rsidRDefault="00490DDC" w:rsidP="004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CC74" w14:textId="77777777" w:rsidR="00967072" w:rsidRPr="002C367D" w:rsidRDefault="00967072" w:rsidP="00D701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C36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Изменение реквизитов Счета депо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/Субсчета депо</w:t>
            </w:r>
            <w:r w:rsidRPr="002C36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, изменение анкетных</w:t>
            </w:r>
            <w:r w:rsidRPr="005257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C36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данных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4998" w14:textId="77777777" w:rsidR="00967072" w:rsidRPr="002C367D" w:rsidRDefault="00967072" w:rsidP="00D70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6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 взимания комиссии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22B0" w14:textId="77777777" w:rsidR="00967072" w:rsidRPr="002C367D" w:rsidRDefault="00967072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84F0" w14:textId="77777777" w:rsidR="00967072" w:rsidRPr="002C367D" w:rsidRDefault="00967072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7072" w:rsidRPr="005257E9" w14:paraId="0961F365" w14:textId="77777777" w:rsidTr="00D701B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98C6" w14:textId="77777777" w:rsidR="00967072" w:rsidRPr="00A007B5" w:rsidRDefault="00490DDC" w:rsidP="004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8E57" w14:textId="77777777" w:rsidR="00967072" w:rsidRPr="002C367D" w:rsidRDefault="00967072" w:rsidP="00D701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007B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Выписка по счету депо Депонента (по итогам операции)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721B" w14:textId="77777777" w:rsidR="00967072" w:rsidRPr="002C367D" w:rsidRDefault="00967072" w:rsidP="00D70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Без взимания комиссии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F3FC3" w14:textId="77777777" w:rsidR="00967072" w:rsidRPr="002C367D" w:rsidRDefault="00967072" w:rsidP="00587A1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E0064" w14:textId="77777777" w:rsidR="00967072" w:rsidRPr="002C367D" w:rsidRDefault="00967072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7072" w:rsidRPr="005257E9" w14:paraId="7A1107E0" w14:textId="77777777" w:rsidTr="00D701B1"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0EEF" w14:textId="77777777" w:rsidR="00967072" w:rsidRPr="00A007B5" w:rsidRDefault="00490DDC" w:rsidP="00490DDC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A4DE" w14:textId="77777777" w:rsidR="00967072" w:rsidRPr="00A007B5" w:rsidRDefault="00967072" w:rsidP="00D701B1">
            <w:pPr>
              <w:pStyle w:val="a4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007B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Отчет о совершенной операции</w:t>
            </w:r>
          </w:p>
          <w:p w14:paraId="72619B68" w14:textId="77777777" w:rsidR="00967072" w:rsidRPr="002C367D" w:rsidRDefault="00967072" w:rsidP="00D701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007B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(по итогам операции)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DEEB" w14:textId="77777777" w:rsidR="00967072" w:rsidRPr="002C367D" w:rsidRDefault="00967072" w:rsidP="00D70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Без взимания комиссии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B93D8" w14:textId="77777777" w:rsidR="00967072" w:rsidRPr="002C367D" w:rsidRDefault="00967072" w:rsidP="00587A1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3A154" w14:textId="77777777" w:rsidR="00967072" w:rsidRPr="002C367D" w:rsidRDefault="00967072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7072" w:rsidRPr="005257E9" w14:paraId="62992D03" w14:textId="77777777" w:rsidTr="00D701B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1FF2" w14:textId="77777777" w:rsidR="00967072" w:rsidRPr="00A007B5" w:rsidRDefault="00490DDC" w:rsidP="004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859F" w14:textId="77777777" w:rsidR="00967072" w:rsidRPr="002C367D" w:rsidRDefault="00967072" w:rsidP="00D701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007B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Предоставление информации (в т.ч. выписка/отчет о совершенной операции)  по запросу Депонента (Попечителя)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DE3B" w14:textId="77777777" w:rsidR="00967072" w:rsidRPr="002C367D" w:rsidRDefault="00967072" w:rsidP="00D70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Без взимания комиссии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2637D" w14:textId="77777777" w:rsidR="00967072" w:rsidRPr="002C367D" w:rsidRDefault="00967072" w:rsidP="00587A1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F7505" w14:textId="77777777" w:rsidR="00967072" w:rsidRPr="002C367D" w:rsidRDefault="00967072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511C3" w:rsidRPr="005257E9" w14:paraId="24D97263" w14:textId="77777777" w:rsidTr="00D701B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0B105" w14:textId="77777777" w:rsidR="006511C3" w:rsidRPr="002C367D" w:rsidDel="00967072" w:rsidRDefault="006511C3" w:rsidP="004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D9FD" w14:textId="77777777" w:rsidR="006511C3" w:rsidRPr="006511C3" w:rsidRDefault="006511C3" w:rsidP="00D701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Зачисление</w:t>
            </w:r>
            <w:r w:rsidRPr="002C36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ценных бумаг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на Счет депо/Субсчет депо</w:t>
            </w:r>
            <w:r w:rsidRPr="005257E9">
              <w:rPr>
                <w:rStyle w:val="a6"/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footnoteReference w:id="1"/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EC28F" w14:textId="77777777" w:rsidR="006511C3" w:rsidRPr="002C367D" w:rsidRDefault="006511C3" w:rsidP="00D70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AC754" w14:textId="77777777" w:rsidR="006511C3" w:rsidRPr="002C367D" w:rsidRDefault="006511C3" w:rsidP="00587A1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DEA7D" w14:textId="77777777" w:rsidR="006511C3" w:rsidRPr="002C367D" w:rsidRDefault="006511C3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511C3" w:rsidRPr="005257E9" w14:paraId="18558181" w14:textId="77777777" w:rsidTr="00D701B1">
        <w:trPr>
          <w:trHeight w:val="3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038D" w14:textId="77777777" w:rsidR="006511C3" w:rsidRPr="002C367D" w:rsidRDefault="006511C3" w:rsidP="004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0BEC" w14:textId="77777777" w:rsidR="006511C3" w:rsidRPr="002C367D" w:rsidRDefault="006511C3" w:rsidP="00D701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0C16" w14:textId="77777777" w:rsidR="006511C3" w:rsidRPr="00052563" w:rsidRDefault="006511C3" w:rsidP="00D70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5A068" w14:textId="77777777" w:rsidR="006511C3" w:rsidRPr="002C367D" w:rsidRDefault="006511C3" w:rsidP="00587A1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654A" w14:textId="77777777" w:rsidR="006511C3" w:rsidRPr="002C367D" w:rsidRDefault="006511C3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52563" w:rsidRPr="005257E9" w14:paraId="2F0A13A6" w14:textId="77777777" w:rsidTr="00D701B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FF7E" w14:textId="77777777" w:rsidR="00052563" w:rsidRDefault="00052563" w:rsidP="004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3F25" w14:textId="77777777" w:rsidR="00052563" w:rsidRDefault="00052563" w:rsidP="00D701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При </w:t>
            </w:r>
            <w:r w:rsidR="006511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зачислении</w:t>
            </w:r>
            <w:r w:rsidRPr="002C36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ценных бумаг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со </w:t>
            </w:r>
            <w:r w:rsidRPr="002C36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Счет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</w:t>
            </w:r>
            <w:r w:rsidRPr="002C36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депо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/Субсчета депо</w:t>
            </w:r>
            <w:r w:rsidRPr="005257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C36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другого Депонента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/Клиента Депозитария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E3507" w14:textId="77777777" w:rsidR="00052563" w:rsidRDefault="006511C3" w:rsidP="00D70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  <w:p w14:paraId="3BC50511" w14:textId="77777777" w:rsidR="006511C3" w:rsidRPr="002C367D" w:rsidRDefault="00F91AB1" w:rsidP="00D70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 поручение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02782" w14:textId="77777777" w:rsidR="00052563" w:rsidRPr="002C367D" w:rsidRDefault="00052563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860E5" w14:textId="77777777" w:rsidR="00052563" w:rsidRPr="002C367D" w:rsidRDefault="00052563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52563" w:rsidRPr="005257E9" w14:paraId="53353B38" w14:textId="77777777" w:rsidTr="00D701B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94B5" w14:textId="77777777" w:rsidR="00052563" w:rsidRDefault="00052563" w:rsidP="004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AF95" w14:textId="77777777" w:rsidR="00052563" w:rsidRPr="006511C3" w:rsidRDefault="006511C3" w:rsidP="00D701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При зачислении</w:t>
            </w:r>
            <w:r w:rsidRPr="002C36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ценных бумаг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со Счета</w:t>
            </w:r>
            <w:r w:rsidRPr="001C5A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депо/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Субсчета</w:t>
            </w:r>
            <w:r w:rsidRPr="006511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депо</w:t>
            </w:r>
            <w:r w:rsidRPr="001C5A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номинального держателя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</w:t>
            </w:r>
            <w:r w:rsidRPr="001C5A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Депозитари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и</w:t>
            </w:r>
            <w:r w:rsidRPr="001C5A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-корреспонденте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BA14" w14:textId="77777777" w:rsidR="00052563" w:rsidRDefault="006511C3" w:rsidP="00D70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  <w:p w14:paraId="313847AA" w14:textId="77777777" w:rsidR="006511C3" w:rsidRPr="002C367D" w:rsidRDefault="00F91AB1" w:rsidP="00D70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 поручение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219A7" w14:textId="77777777" w:rsidR="00052563" w:rsidRPr="002C367D" w:rsidRDefault="00052563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EEDCA" w14:textId="77777777" w:rsidR="00052563" w:rsidRPr="002C367D" w:rsidRDefault="00052563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67072" w:rsidRPr="005257E9" w14:paraId="668EDC23" w14:textId="77777777" w:rsidTr="00D701B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AF35" w14:textId="77777777" w:rsidR="00967072" w:rsidRPr="002C367D" w:rsidRDefault="00490DDC" w:rsidP="004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5241" w14:textId="77777777" w:rsidR="00967072" w:rsidRPr="002C367D" w:rsidRDefault="00967072" w:rsidP="00D701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Списание</w:t>
            </w:r>
            <w:r w:rsidR="00B63634" w:rsidRPr="0005256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C36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ценных бумаг</w:t>
            </w:r>
            <w:r w:rsidR="0005256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со Счета депо/Субсчета депо</w:t>
            </w:r>
            <w:r w:rsidRPr="002C36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64D4" w14:textId="77777777" w:rsidR="00967072" w:rsidRPr="002C367D" w:rsidRDefault="00967072" w:rsidP="00D70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7CAFD" w14:textId="77777777" w:rsidR="00967072" w:rsidRPr="002C367D" w:rsidRDefault="00967072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5207" w14:textId="77777777" w:rsidR="00967072" w:rsidRPr="002C367D" w:rsidRDefault="00967072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511C3" w:rsidRPr="005257E9" w14:paraId="65EA1EB1" w14:textId="77777777" w:rsidTr="00D701B1">
        <w:trPr>
          <w:trHeight w:val="6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25D3" w14:textId="77777777" w:rsidR="006511C3" w:rsidRPr="002C367D" w:rsidRDefault="006511C3" w:rsidP="004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D3D6" w14:textId="77777777" w:rsidR="006511C3" w:rsidRPr="002C367D" w:rsidRDefault="006511C3" w:rsidP="00D701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C36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 последующим зачислением ценных бумаг на Счет депо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/Субсчет депо</w:t>
            </w:r>
            <w:r w:rsidRPr="005257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C36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другого Депонента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/Клиента Депозитария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9DD2" w14:textId="77777777" w:rsidR="006511C3" w:rsidRDefault="006511C3" w:rsidP="00D70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  <w:p w14:paraId="53415C67" w14:textId="77777777" w:rsidR="006511C3" w:rsidRPr="00CE2549" w:rsidRDefault="00F91AB1" w:rsidP="00D70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 поручение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B077" w14:textId="77777777" w:rsidR="006511C3" w:rsidRPr="002C367D" w:rsidRDefault="006511C3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7EEC" w14:textId="77777777" w:rsidR="006511C3" w:rsidRPr="002C367D" w:rsidRDefault="006511C3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511C3" w:rsidRPr="005257E9" w14:paraId="58F2E77A" w14:textId="77777777" w:rsidTr="00D701B1">
        <w:trPr>
          <w:trHeight w:val="9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48E9" w14:textId="77777777" w:rsidR="006511C3" w:rsidRPr="002C367D" w:rsidRDefault="006511C3" w:rsidP="004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FFF8" w14:textId="77777777" w:rsidR="006511C3" w:rsidRPr="008B5263" w:rsidRDefault="006511C3" w:rsidP="00D701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1C5A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 последующим списанием ценных бумаг со Счета депо/</w:t>
            </w:r>
            <w:r w:rsidRPr="006511C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Субсчета депо</w:t>
            </w:r>
            <w:r w:rsidRPr="001C5A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номинального держателя в Депозитарии-корреспонденте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8118" w14:textId="77777777" w:rsidR="006511C3" w:rsidRPr="002C367D" w:rsidRDefault="006511C3" w:rsidP="00D70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6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  <w:p w14:paraId="2EF651CF" w14:textId="77777777" w:rsidR="006511C3" w:rsidRPr="002C367D" w:rsidRDefault="00F91AB1" w:rsidP="00D70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 поручение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2EBE" w14:textId="77777777" w:rsidR="006511C3" w:rsidRPr="002C367D" w:rsidRDefault="006511C3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FFE0" w14:textId="77777777" w:rsidR="006511C3" w:rsidRPr="002C367D" w:rsidRDefault="006511C3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511C3" w:rsidRPr="005257E9" w14:paraId="7B1B17AB" w14:textId="77777777" w:rsidTr="00D701B1">
        <w:trPr>
          <w:trHeight w:val="9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0883" w14:textId="77777777" w:rsidR="006511C3" w:rsidRPr="002C367D" w:rsidRDefault="006511C3" w:rsidP="004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7796" w14:textId="77777777" w:rsidR="006511C3" w:rsidRPr="006511C3" w:rsidRDefault="006511C3" w:rsidP="00D701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2C36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Перевод ценных бумаг между Счетами депо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/Субсчетами депо</w:t>
            </w:r>
            <w:r w:rsidRPr="002C36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одного Депонента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/Клиента Депозитария</w:t>
            </w:r>
            <w:r w:rsidRPr="002C36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или между разделами одного Счета депо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/Субсчета депо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81D9" w14:textId="77777777" w:rsidR="006511C3" w:rsidRPr="002C367D" w:rsidRDefault="006511C3" w:rsidP="00D70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36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</w:p>
          <w:p w14:paraId="310818D5" w14:textId="77777777" w:rsidR="006511C3" w:rsidRPr="002C367D" w:rsidRDefault="00F91AB1" w:rsidP="00D70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 поручение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634C" w14:textId="77777777" w:rsidR="006511C3" w:rsidRPr="002C367D" w:rsidRDefault="006511C3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0BC2" w14:textId="77777777" w:rsidR="006511C3" w:rsidRPr="002C367D" w:rsidRDefault="006511C3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511C3" w:rsidRPr="005257E9" w14:paraId="4CBE48DF" w14:textId="77777777" w:rsidTr="00D701B1">
        <w:trPr>
          <w:trHeight w:val="5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079C" w14:textId="77777777" w:rsidR="006511C3" w:rsidRPr="003D7FA6" w:rsidRDefault="006511C3" w:rsidP="004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BB2" w14:textId="3CD4B324" w:rsidR="006511C3" w:rsidRPr="006511C3" w:rsidRDefault="006511C3" w:rsidP="00E90A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3D7FA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Отмена поручения</w:t>
            </w:r>
            <w:r w:rsidR="00FF321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DDFC" w14:textId="77777777" w:rsidR="006511C3" w:rsidRDefault="006511C3" w:rsidP="00D701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Без взимания комиссии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0C75D" w14:textId="77777777" w:rsidR="006511C3" w:rsidRPr="002C367D" w:rsidRDefault="006511C3" w:rsidP="00587A1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D2B2E" w14:textId="77777777" w:rsidR="006511C3" w:rsidRPr="002C367D" w:rsidRDefault="006511C3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E2549" w:rsidRPr="005257E9" w14:paraId="1A4E9063" w14:textId="77777777" w:rsidTr="00D701B1">
        <w:trPr>
          <w:trHeight w:val="5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F97" w14:textId="77777777" w:rsidR="00CE2549" w:rsidRPr="003D7FA6" w:rsidRDefault="00490DDC" w:rsidP="004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EFC2" w14:textId="77777777" w:rsidR="00CE2549" w:rsidRPr="00D701B1" w:rsidRDefault="00CE2549" w:rsidP="00D701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Инвентарные операции по Субсчетам депо по итогам клиринга</w:t>
            </w:r>
            <w:r w:rsidR="00490DD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BBF64" w14:textId="77777777" w:rsidR="00CE2549" w:rsidRPr="005257E9" w:rsidRDefault="00CE2549" w:rsidP="00D70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A37F7" w14:textId="77777777" w:rsidR="00CE2549" w:rsidRPr="002C367D" w:rsidRDefault="00CE2549" w:rsidP="00587A1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1FA5E" w14:textId="77777777" w:rsidR="00CE2549" w:rsidRPr="002C367D" w:rsidRDefault="00CE2549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E2549" w:rsidRPr="005257E9" w14:paraId="57E9A3B3" w14:textId="77777777" w:rsidTr="00D701B1">
        <w:trPr>
          <w:trHeight w:val="5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EE32" w14:textId="77777777" w:rsidR="00CE2549" w:rsidRPr="002C367D" w:rsidRDefault="00E2040B" w:rsidP="004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D1E7" w14:textId="77777777" w:rsidR="00CE2549" w:rsidRPr="002C367D" w:rsidRDefault="00CE2549" w:rsidP="00D701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C36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Абонентская плата за ведение Счета депо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4750" w14:textId="77777777" w:rsidR="00CE2549" w:rsidRPr="002C367D" w:rsidRDefault="00CE2549" w:rsidP="00D70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257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руб. в месяц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08AFA" w14:textId="77777777" w:rsidR="00CE2549" w:rsidRPr="002C367D" w:rsidRDefault="00CE2549" w:rsidP="00587A1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5429" w14:textId="77777777" w:rsidR="00CE2549" w:rsidRPr="002C367D" w:rsidRDefault="00CE2549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E2549" w:rsidRPr="005257E9" w14:paraId="0D4F4FA0" w14:textId="77777777" w:rsidTr="00D701B1">
        <w:trPr>
          <w:trHeight w:val="9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FF24" w14:textId="77777777" w:rsidR="00CE2549" w:rsidRPr="002C367D" w:rsidRDefault="00E2040B" w:rsidP="0049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DE40" w14:textId="77777777" w:rsidR="00CE2549" w:rsidRPr="002C367D" w:rsidRDefault="00CE2549" w:rsidP="00D701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C36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Перечисление доходов по ценным бумагам на банковские</w:t>
            </w:r>
            <w:r w:rsidRPr="005257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C36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реквизиты Депонента</w:t>
            </w:r>
            <w:r w:rsidR="00DC588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/К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лиента Депозитария</w:t>
            </w:r>
            <w:r w:rsidRPr="002C36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C5A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(за каждое платежное поручение)</w:t>
            </w:r>
            <w:r w:rsidRPr="005257E9">
              <w:rPr>
                <w:rStyle w:val="a6"/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footnoteReference w:id="2"/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EC62" w14:textId="77777777" w:rsidR="00CE2549" w:rsidRPr="002C367D" w:rsidRDefault="00CE2549" w:rsidP="00D70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 взимания комиссии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028BF" w14:textId="77777777" w:rsidR="00CE2549" w:rsidRPr="002C367D" w:rsidRDefault="00CE2549" w:rsidP="00587A1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EEC1" w14:textId="77777777" w:rsidR="00CE2549" w:rsidRPr="002C367D" w:rsidRDefault="00CE2549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2040B" w:rsidRPr="005257E9" w14:paraId="6CF8D4A8" w14:textId="77777777" w:rsidTr="00D701B1">
        <w:trPr>
          <w:trHeight w:val="12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5F54" w14:textId="77777777" w:rsidR="00E2040B" w:rsidRPr="002C367D" w:rsidRDefault="00E2040B" w:rsidP="00953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E7D0" w14:textId="77777777" w:rsidR="00E2040B" w:rsidRPr="002C367D" w:rsidRDefault="00E2040B" w:rsidP="00D701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D7FA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Выдача выпис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ки в электронной форме по Счету</w:t>
            </w:r>
            <w:r w:rsidRPr="003D7FA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/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C</w:t>
            </w:r>
            <w:r w:rsidRPr="003D7FA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убсчету депо за период, самостоят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ельно определяемый Депонентом/</w:t>
            </w:r>
            <w:r w:rsidRPr="003D7FA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Клиентом Депозитария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90FA6" w14:textId="77777777" w:rsidR="00E2040B" w:rsidRDefault="00E2040B" w:rsidP="00D701B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56178">
              <w:rPr>
                <w:rFonts w:ascii="Arial" w:hAnsi="Arial" w:cs="Arial"/>
                <w:sz w:val="18"/>
                <w:szCs w:val="18"/>
              </w:rPr>
              <w:t>00  за операцию</w:t>
            </w:r>
          </w:p>
          <w:p w14:paraId="41EA1B29" w14:textId="77777777" w:rsidR="00E2040B" w:rsidRPr="002C367D" w:rsidRDefault="00E2040B" w:rsidP="00D70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Оплата авансовая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0D527" w14:textId="77777777" w:rsidR="00E2040B" w:rsidRPr="002C367D" w:rsidRDefault="00E2040B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E0A29" w14:textId="77777777" w:rsidR="00E2040B" w:rsidRPr="002C367D" w:rsidRDefault="00E2040B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2040B" w:rsidRPr="005257E9" w14:paraId="660B2955" w14:textId="77777777" w:rsidTr="00D701B1">
        <w:trPr>
          <w:trHeight w:val="12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2459" w14:textId="77777777" w:rsidR="00E2040B" w:rsidRPr="003D7FA6" w:rsidRDefault="00E2040B" w:rsidP="00953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32CA" w14:textId="77777777" w:rsidR="00E2040B" w:rsidRPr="002C367D" w:rsidRDefault="00E2040B" w:rsidP="00D701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D7FA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Выдача вы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писки в бумажной форме по Счету/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C</w:t>
            </w:r>
            <w:r w:rsidRPr="003D7FA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убсчету депо за период, самосто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ятельно определяемый Депонентом/</w:t>
            </w:r>
            <w:r w:rsidRPr="003D7FA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Клиентом Депозитария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73BA8" w14:textId="77777777" w:rsidR="00E2040B" w:rsidRDefault="00E2040B" w:rsidP="00D701B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  за операцию</w:t>
            </w:r>
          </w:p>
          <w:p w14:paraId="152898CA" w14:textId="77777777" w:rsidR="00E2040B" w:rsidRPr="002C367D" w:rsidRDefault="00E2040B" w:rsidP="00D70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Оплата авансовая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A417E" w14:textId="77777777" w:rsidR="00E2040B" w:rsidRPr="002C367D" w:rsidRDefault="00E2040B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F5CE2" w14:textId="77777777" w:rsidR="00E2040B" w:rsidRPr="002C367D" w:rsidRDefault="00E2040B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2040B" w:rsidRPr="005257E9" w14:paraId="062865E8" w14:textId="77777777" w:rsidTr="00D701B1">
        <w:trPr>
          <w:trHeight w:val="12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9CE9" w14:textId="77777777" w:rsidR="00E2040B" w:rsidRPr="003D7FA6" w:rsidRDefault="00E2040B" w:rsidP="00953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7A3A" w14:textId="77777777" w:rsidR="00E2040B" w:rsidRPr="00D17A8E" w:rsidRDefault="00E2040B" w:rsidP="00D701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90DDC">
              <w:rPr>
                <w:rFonts w:ascii="Arial" w:hAnsi="Arial" w:cs="Arial"/>
                <w:b/>
                <w:sz w:val="18"/>
                <w:szCs w:val="18"/>
              </w:rPr>
              <w:t xml:space="preserve">Предоставление информации в рамках аудиторских запросов о наличии/ отсутствии Счетов и Субсчетов депо; остатках и операциях (оборотах) на Счетах и Субсчетах </w:t>
            </w:r>
            <w:r>
              <w:rPr>
                <w:rFonts w:ascii="Arial" w:hAnsi="Arial" w:cs="Arial"/>
                <w:b/>
                <w:sz w:val="18"/>
                <w:szCs w:val="18"/>
              </w:rPr>
              <w:t>д</w:t>
            </w:r>
            <w:r w:rsidRPr="00490DDC">
              <w:rPr>
                <w:rFonts w:ascii="Arial" w:hAnsi="Arial" w:cs="Arial"/>
                <w:b/>
                <w:sz w:val="18"/>
                <w:szCs w:val="18"/>
              </w:rPr>
              <w:t>епо.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C5E8" w14:textId="77777777" w:rsidR="00E2040B" w:rsidRDefault="00E2040B" w:rsidP="00D701B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B6F">
              <w:rPr>
                <w:rFonts w:ascii="Arial" w:hAnsi="Arial" w:cs="Arial"/>
                <w:sz w:val="18"/>
                <w:szCs w:val="18"/>
              </w:rPr>
              <w:t>2000 за запрос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F3005" w14:textId="77777777" w:rsidR="00E2040B" w:rsidRPr="002C367D" w:rsidRDefault="00E2040B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20861" w14:textId="77777777" w:rsidR="00E2040B" w:rsidRPr="002C367D" w:rsidRDefault="00E2040B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2040B" w:rsidRPr="005257E9" w14:paraId="5A4405B6" w14:textId="77777777" w:rsidTr="00D701B1">
        <w:trPr>
          <w:trHeight w:val="12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21B6" w14:textId="77777777" w:rsidR="00E2040B" w:rsidRPr="00967072" w:rsidRDefault="00E2040B" w:rsidP="0095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384F" w14:textId="77777777" w:rsidR="00E2040B" w:rsidRPr="00D17A8E" w:rsidRDefault="00E2040B" w:rsidP="00D701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90DDC">
              <w:rPr>
                <w:rFonts w:ascii="Arial" w:hAnsi="Arial" w:cs="Arial"/>
                <w:b/>
                <w:sz w:val="18"/>
                <w:szCs w:val="18"/>
              </w:rPr>
              <w:t xml:space="preserve">Оказание услуг по предоставлению </w:t>
            </w:r>
            <w:r>
              <w:rPr>
                <w:rFonts w:ascii="Arial" w:hAnsi="Arial" w:cs="Arial"/>
                <w:b/>
                <w:sz w:val="18"/>
                <w:szCs w:val="18"/>
              </w:rPr>
              <w:t>выписок по закрытым Счетам депо/</w:t>
            </w:r>
            <w:r w:rsidRPr="00490DDC">
              <w:rPr>
                <w:rFonts w:ascii="Arial" w:hAnsi="Arial" w:cs="Arial"/>
                <w:b/>
                <w:sz w:val="18"/>
                <w:szCs w:val="18"/>
              </w:rPr>
              <w:t>выписок по операциям по закрытым Счетам депо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8E579" w14:textId="77777777" w:rsidR="00E2040B" w:rsidRDefault="00E2040B" w:rsidP="00D701B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 за выписку, не включая НДС</w:t>
            </w:r>
          </w:p>
          <w:p w14:paraId="72282454" w14:textId="77777777" w:rsidR="00E2040B" w:rsidRDefault="00E2040B" w:rsidP="00D70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Услуга облагается НДС.</w:t>
            </w:r>
          </w:p>
          <w:p w14:paraId="09068E66" w14:textId="77777777" w:rsidR="00E2040B" w:rsidRDefault="00E2040B" w:rsidP="00D70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71FA">
              <w:rPr>
                <w:rFonts w:ascii="Arial" w:hAnsi="Arial" w:cs="Arial"/>
                <w:sz w:val="18"/>
                <w:szCs w:val="18"/>
              </w:rPr>
              <w:t>НДС оплачивается сверх стоимости услуги в размере, установленном НК РФ</w:t>
            </w:r>
          </w:p>
          <w:p w14:paraId="5B919779" w14:textId="77777777" w:rsidR="00E2040B" w:rsidRPr="00A007B5" w:rsidRDefault="00E2040B" w:rsidP="00D70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Оплата авансовая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CF48A" w14:textId="77777777" w:rsidR="00E2040B" w:rsidRPr="002C367D" w:rsidRDefault="00E2040B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E4E71" w14:textId="77777777" w:rsidR="00E2040B" w:rsidRPr="002C367D" w:rsidRDefault="00E2040B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2040B" w:rsidRPr="005257E9" w14:paraId="0A1768D2" w14:textId="77777777" w:rsidTr="00D701B1">
        <w:trPr>
          <w:trHeight w:val="1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0DF3" w14:textId="77777777" w:rsidR="00E2040B" w:rsidRPr="00967072" w:rsidRDefault="00E2040B" w:rsidP="009537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26A0" w14:textId="77777777" w:rsidR="00E2040B" w:rsidRPr="002C367D" w:rsidRDefault="00E2040B" w:rsidP="00D701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E2040B">
              <w:rPr>
                <w:rFonts w:ascii="Arial" w:hAnsi="Arial" w:cs="Arial"/>
                <w:b/>
                <w:sz w:val="18"/>
                <w:szCs w:val="18"/>
              </w:rPr>
              <w:t>Услуга, связанная с участием/отменой участия в корпоративных действиях, требующих волеизъявления Депонента/Клиента Депозитария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B200" w14:textId="77777777" w:rsidR="00E2040B" w:rsidRPr="002C367D" w:rsidRDefault="00E2040B" w:rsidP="00D70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76BA" w14:textId="77777777" w:rsidR="00E2040B" w:rsidRPr="002C367D" w:rsidRDefault="00E2040B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9769" w14:textId="77777777" w:rsidR="00E2040B" w:rsidRPr="002C367D" w:rsidRDefault="00E2040B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2040B" w:rsidRPr="005257E9" w14:paraId="4942F09A" w14:textId="77777777" w:rsidTr="00D701B1">
        <w:trPr>
          <w:trHeight w:val="1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F351" w14:textId="77777777" w:rsidR="00E2040B" w:rsidRPr="002C367D" w:rsidRDefault="00E2040B" w:rsidP="00953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38A6" w14:textId="77777777" w:rsidR="00E2040B" w:rsidRPr="002C367D" w:rsidRDefault="00E2040B" w:rsidP="00D701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E2040B">
              <w:rPr>
                <w:rFonts w:ascii="Arial" w:hAnsi="Arial" w:cs="Arial"/>
                <w:b/>
                <w:sz w:val="18"/>
                <w:szCs w:val="18"/>
              </w:rPr>
              <w:t>Услуга, связанная с участием лица, осуществляющего права по ценным бумагам, в общем собрании владельцев именных ценных бумаг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2A6B" w14:textId="77777777" w:rsidR="00E2040B" w:rsidRPr="002C367D" w:rsidRDefault="00E2040B" w:rsidP="00D701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3D36" w14:textId="77777777" w:rsidR="00E2040B" w:rsidRPr="005257E9" w:rsidRDefault="00E2040B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FC6217F" w14:textId="77777777" w:rsidR="00E2040B" w:rsidRPr="005257E9" w:rsidRDefault="00E2040B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F000005" w14:textId="77777777" w:rsidR="00E2040B" w:rsidRPr="002C367D" w:rsidRDefault="00E2040B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9575" w14:textId="77777777" w:rsidR="00E2040B" w:rsidRPr="005257E9" w:rsidRDefault="00E2040B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A2B9AF1" w14:textId="77777777" w:rsidR="00E2040B" w:rsidRPr="005257E9" w:rsidRDefault="00E2040B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5E40FE6" w14:textId="77777777" w:rsidR="00E2040B" w:rsidRPr="002C367D" w:rsidRDefault="00E2040B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2040B" w:rsidRPr="005257E9" w14:paraId="3C5AFCAE" w14:textId="77777777" w:rsidTr="00490DDC">
        <w:trPr>
          <w:trHeight w:val="281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151C23" w14:textId="77777777" w:rsidR="00E2040B" w:rsidRPr="002C367D" w:rsidRDefault="00E2040B" w:rsidP="00953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7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3C89" w14:textId="77777777" w:rsidR="00E2040B" w:rsidRPr="002C367D" w:rsidRDefault="00E2040B" w:rsidP="001564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5257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Плата за услуги по хранению и /или учету прав на ценные бумаги (для физических и юридических лиц)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3B19" w14:textId="77777777" w:rsidR="00E2040B" w:rsidRPr="002C367D" w:rsidRDefault="00E2040B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F411" w14:textId="77777777" w:rsidR="00E2040B" w:rsidRPr="002C367D" w:rsidRDefault="00E2040B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2040B" w:rsidRPr="005257E9" w14:paraId="149CA55D" w14:textId="77777777" w:rsidTr="00490DDC">
        <w:trPr>
          <w:trHeight w:val="70"/>
        </w:trPr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9C6426" w14:textId="77777777" w:rsidR="00E2040B" w:rsidRPr="005257E9" w:rsidRDefault="00E2040B" w:rsidP="00953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72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BABD7A" w14:textId="77777777" w:rsidR="00E2040B" w:rsidRPr="005257E9" w:rsidRDefault="00E2040B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3C996" w14:textId="77777777" w:rsidR="00E2040B" w:rsidRPr="005257E9" w:rsidRDefault="00E2040B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95849" w14:textId="77777777" w:rsidR="00E2040B" w:rsidRPr="005257E9" w:rsidRDefault="00E2040B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2040B" w:rsidRPr="005257E9" w14:paraId="467A4774" w14:textId="77777777" w:rsidTr="00490DDC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80A724" w14:textId="77777777" w:rsidR="00E2040B" w:rsidRPr="00490DDC" w:rsidRDefault="00E2040B" w:rsidP="00953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98FF6C" w14:textId="77777777" w:rsidR="00E2040B" w:rsidRPr="002C367D" w:rsidRDefault="00E2040B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A8ED" w14:textId="77777777" w:rsidR="00E2040B" w:rsidRPr="002C367D" w:rsidRDefault="00E2040B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6C02" w14:textId="77777777" w:rsidR="00E2040B" w:rsidRPr="002C367D" w:rsidRDefault="00E2040B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4F63" w14:textId="77777777" w:rsidR="00E2040B" w:rsidRPr="002C367D" w:rsidRDefault="00E2040B" w:rsidP="00587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2040B" w:rsidRPr="005257E9" w14:paraId="37BDBF9D" w14:textId="77777777" w:rsidTr="00490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val="1070"/>
        </w:trPr>
        <w:tc>
          <w:tcPr>
            <w:tcW w:w="426" w:type="dxa"/>
          </w:tcPr>
          <w:p w14:paraId="5C1419B6" w14:textId="77777777" w:rsidR="00E2040B" w:rsidRPr="005257E9" w:rsidRDefault="00E2040B" w:rsidP="00490DD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20.1</w:t>
            </w:r>
          </w:p>
        </w:tc>
        <w:tc>
          <w:tcPr>
            <w:tcW w:w="9072" w:type="dxa"/>
            <w:gridSpan w:val="4"/>
            <w:vAlign w:val="center"/>
          </w:tcPr>
          <w:p w14:paraId="0A2B3C87" w14:textId="77777777" w:rsidR="00E2040B" w:rsidRPr="005257E9" w:rsidRDefault="00E2040B" w:rsidP="00587A1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b/>
                <w:bCs/>
                <w:sz w:val="18"/>
                <w:szCs w:val="18"/>
              </w:rPr>
              <w:t>Ставки ежемесячной платы за услуги по хранению ценных бумаг и/или учету прав на ценные бумаги для государственных,  муниципальных, корпоративных облигаций по ценным бумагам, выпущенным в соответствии с законодательством Российской Федерации:</w:t>
            </w:r>
          </w:p>
        </w:tc>
      </w:tr>
      <w:tr w:rsidR="00E2040B" w:rsidRPr="005257E9" w14:paraId="461E4D5F" w14:textId="77777777" w:rsidTr="00490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val="689"/>
        </w:trPr>
        <w:tc>
          <w:tcPr>
            <w:tcW w:w="426" w:type="dxa"/>
          </w:tcPr>
          <w:p w14:paraId="056CC933" w14:textId="77777777" w:rsidR="00E2040B" w:rsidRPr="005257E9" w:rsidRDefault="00E2040B" w:rsidP="00490D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396F50DE" w14:textId="77777777" w:rsidR="00E2040B" w:rsidRPr="005257E9" w:rsidRDefault="00E2040B" w:rsidP="000E0A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b/>
                <w:bCs/>
                <w:sz w:val="18"/>
                <w:szCs w:val="18"/>
              </w:rPr>
              <w:t>Стоимость остатка ценных бумаг (руб.)</w:t>
            </w:r>
            <w:r>
              <w:rPr>
                <w:rStyle w:val="a6"/>
                <w:rFonts w:ascii="Arial" w:hAnsi="Arial" w:cs="Arial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E7E15FC" w14:textId="77777777" w:rsidR="00E2040B" w:rsidRPr="005257E9" w:rsidRDefault="00E2040B" w:rsidP="00587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b/>
                <w:bCs/>
                <w:sz w:val="18"/>
                <w:szCs w:val="18"/>
              </w:rPr>
              <w:t>По совокупности открытых счетов Депонента в Депозитарии</w:t>
            </w:r>
          </w:p>
        </w:tc>
      </w:tr>
      <w:tr w:rsidR="00E2040B" w:rsidRPr="005257E9" w14:paraId="5582F1B6" w14:textId="77777777" w:rsidTr="00490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val="421"/>
        </w:trPr>
        <w:tc>
          <w:tcPr>
            <w:tcW w:w="426" w:type="dxa"/>
          </w:tcPr>
          <w:p w14:paraId="138B13D9" w14:textId="77777777" w:rsidR="00E2040B" w:rsidRPr="005257E9" w:rsidRDefault="00E2040B" w:rsidP="00490D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0" w:type="dxa"/>
            <w:vAlign w:val="center"/>
          </w:tcPr>
          <w:p w14:paraId="5985399B" w14:textId="77777777" w:rsidR="00E2040B" w:rsidRPr="005257E9" w:rsidRDefault="00E2040B" w:rsidP="00587A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57E9">
              <w:rPr>
                <w:rFonts w:ascii="Arial" w:hAnsi="Arial" w:cs="Arial"/>
                <w:b/>
                <w:sz w:val="18"/>
                <w:szCs w:val="18"/>
              </w:rPr>
              <w:t>От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66FFDDFA" w14:textId="77777777" w:rsidR="00E2040B" w:rsidRPr="005257E9" w:rsidRDefault="00E2040B" w:rsidP="00587A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57E9">
              <w:rPr>
                <w:rFonts w:ascii="Arial" w:hAnsi="Arial" w:cs="Arial"/>
                <w:b/>
                <w:sz w:val="18"/>
                <w:szCs w:val="18"/>
              </w:rPr>
              <w:t>До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0F3A487" w14:textId="77777777" w:rsidR="00E2040B" w:rsidRDefault="00E2040B" w:rsidP="00B6363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57E9">
              <w:rPr>
                <w:rFonts w:ascii="Arial" w:hAnsi="Arial" w:cs="Arial"/>
                <w:b/>
                <w:sz w:val="18"/>
                <w:szCs w:val="18"/>
              </w:rPr>
              <w:t>Ставка % годовых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14:paraId="1DFB8751" w14:textId="77777777" w:rsidR="00E2040B" w:rsidRPr="00B63634" w:rsidRDefault="00E2040B" w:rsidP="00587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3634">
              <w:rPr>
                <w:rFonts w:ascii="Arial" w:hAnsi="Arial" w:cs="Arial"/>
                <w:sz w:val="18"/>
                <w:szCs w:val="18"/>
              </w:rPr>
              <w:t>мин. 500 рублей</w:t>
            </w:r>
          </w:p>
        </w:tc>
      </w:tr>
      <w:tr w:rsidR="00E2040B" w:rsidRPr="005257E9" w14:paraId="3ECF2C5D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BCCE" w14:textId="77777777" w:rsidR="00E2040B" w:rsidRPr="005257E9" w:rsidRDefault="00E2040B" w:rsidP="00490D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F95D" w14:textId="77777777" w:rsidR="00E2040B" w:rsidRPr="005257E9" w:rsidRDefault="00E2040B" w:rsidP="00587A1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260D" w14:textId="77777777" w:rsidR="00E2040B" w:rsidRPr="005257E9" w:rsidRDefault="00E2040B" w:rsidP="00587A1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5 000 000 000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7C37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0,0230</w:t>
            </w:r>
          </w:p>
        </w:tc>
      </w:tr>
      <w:tr w:rsidR="00E2040B" w:rsidRPr="005257E9" w14:paraId="09B438C2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B238" w14:textId="77777777" w:rsidR="00E2040B" w:rsidRPr="005257E9" w:rsidRDefault="00E2040B" w:rsidP="00490D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DE4C" w14:textId="77777777" w:rsidR="00E2040B" w:rsidRPr="005257E9" w:rsidRDefault="00E2040B" w:rsidP="00587A1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5 000 000 000,01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B5D1" w14:textId="77777777" w:rsidR="00E2040B" w:rsidRPr="005257E9" w:rsidRDefault="00E2040B" w:rsidP="00587A1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10 000 000 000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F336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0,0200</w:t>
            </w:r>
          </w:p>
        </w:tc>
      </w:tr>
      <w:tr w:rsidR="00E2040B" w:rsidRPr="005257E9" w14:paraId="68C930F2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31A8" w14:textId="77777777" w:rsidR="00E2040B" w:rsidRPr="005257E9" w:rsidRDefault="00E2040B" w:rsidP="00490D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E94D" w14:textId="77777777" w:rsidR="00E2040B" w:rsidRPr="005257E9" w:rsidRDefault="00E2040B" w:rsidP="00587A1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10 000 000 000,01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FEB2" w14:textId="77777777" w:rsidR="00E2040B" w:rsidRPr="005257E9" w:rsidRDefault="00E2040B" w:rsidP="00587A1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20 000 000 000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D6B1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0,0180</w:t>
            </w:r>
          </w:p>
        </w:tc>
      </w:tr>
      <w:tr w:rsidR="00E2040B" w:rsidRPr="005257E9" w14:paraId="3BAC9497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9C71" w14:textId="77777777" w:rsidR="00E2040B" w:rsidRPr="005257E9" w:rsidRDefault="00E2040B" w:rsidP="00490D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5D6F" w14:textId="77777777" w:rsidR="00E2040B" w:rsidRPr="005257E9" w:rsidRDefault="00E2040B" w:rsidP="00587A1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20 000 000 000,01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68FB" w14:textId="77777777" w:rsidR="00E2040B" w:rsidRPr="005257E9" w:rsidRDefault="00E2040B" w:rsidP="00587A1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30 000 000 000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301C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0,0165</w:t>
            </w:r>
          </w:p>
        </w:tc>
      </w:tr>
      <w:tr w:rsidR="00E2040B" w:rsidRPr="005257E9" w14:paraId="172CB119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657" w14:textId="77777777" w:rsidR="00E2040B" w:rsidRPr="005257E9" w:rsidRDefault="00E2040B" w:rsidP="00490D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CE5D" w14:textId="77777777" w:rsidR="00E2040B" w:rsidRPr="005257E9" w:rsidRDefault="00E2040B" w:rsidP="00587A10">
            <w:pPr>
              <w:pStyle w:val="a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30 000 000 000,01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C22A" w14:textId="77777777" w:rsidR="00E2040B" w:rsidRPr="005257E9" w:rsidRDefault="00E2040B" w:rsidP="00587A1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50 000 000 000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B32E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0,0150</w:t>
            </w:r>
          </w:p>
        </w:tc>
      </w:tr>
      <w:tr w:rsidR="00E2040B" w:rsidRPr="005257E9" w14:paraId="10AB0B16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C734" w14:textId="77777777" w:rsidR="00E2040B" w:rsidRPr="005257E9" w:rsidRDefault="00E2040B" w:rsidP="00490D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D56F" w14:textId="77777777" w:rsidR="00E2040B" w:rsidRPr="005257E9" w:rsidRDefault="00E2040B" w:rsidP="00587A1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50 000 000 000,01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B800" w14:textId="77777777" w:rsidR="00E2040B" w:rsidRPr="005257E9" w:rsidRDefault="00E2040B" w:rsidP="00587A1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125 000 000 000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A614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0,0140</w:t>
            </w:r>
          </w:p>
        </w:tc>
      </w:tr>
      <w:tr w:rsidR="00E2040B" w:rsidRPr="005257E9" w14:paraId="267B3DFE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F8DA" w14:textId="77777777" w:rsidR="00E2040B" w:rsidRPr="005257E9" w:rsidRDefault="00E2040B" w:rsidP="00490D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7CF7" w14:textId="77777777" w:rsidR="00E2040B" w:rsidRPr="005257E9" w:rsidRDefault="00E2040B" w:rsidP="00587A1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125 000 000 000,01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EB4C" w14:textId="77777777" w:rsidR="00E2040B" w:rsidRPr="005257E9" w:rsidRDefault="00E2040B" w:rsidP="00587A1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500 000 000 000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74BC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0,0120</w:t>
            </w:r>
          </w:p>
        </w:tc>
      </w:tr>
      <w:tr w:rsidR="00E2040B" w:rsidRPr="005257E9" w14:paraId="68F8ED9D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01D" w14:textId="77777777" w:rsidR="00E2040B" w:rsidRPr="005257E9" w:rsidRDefault="00E2040B" w:rsidP="00490D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1661" w14:textId="77777777" w:rsidR="00E2040B" w:rsidRPr="005257E9" w:rsidRDefault="00E2040B" w:rsidP="00587A1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500 000 000 000,01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6C05" w14:textId="77777777" w:rsidR="00E2040B" w:rsidRPr="005257E9" w:rsidRDefault="00E2040B" w:rsidP="00587A1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1 000 000 000 000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BB0F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0,0120</w:t>
            </w:r>
          </w:p>
        </w:tc>
      </w:tr>
      <w:tr w:rsidR="00E2040B" w:rsidRPr="005257E9" w14:paraId="2C15EED2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7E99" w14:textId="77777777" w:rsidR="00E2040B" w:rsidRPr="005257E9" w:rsidRDefault="00E2040B" w:rsidP="00490D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6FE6" w14:textId="77777777" w:rsidR="00E2040B" w:rsidRPr="005257E9" w:rsidRDefault="00E2040B" w:rsidP="00587A1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1 000 000 000 000,01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ACDD" w14:textId="77777777" w:rsidR="00E2040B" w:rsidRPr="005257E9" w:rsidRDefault="00E2040B" w:rsidP="00587A1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1 500 000 000 000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59BF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0,0115</w:t>
            </w:r>
          </w:p>
        </w:tc>
      </w:tr>
      <w:tr w:rsidR="00E2040B" w:rsidRPr="005257E9" w14:paraId="2972B79D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C0A2" w14:textId="77777777" w:rsidR="00E2040B" w:rsidRPr="005257E9" w:rsidRDefault="00E2040B" w:rsidP="00490D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F897" w14:textId="77777777" w:rsidR="00E2040B" w:rsidRPr="005257E9" w:rsidRDefault="00E2040B" w:rsidP="00587A1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1 500 000 000 000,01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AEB7" w14:textId="77777777" w:rsidR="00E2040B" w:rsidRPr="005257E9" w:rsidRDefault="00E2040B" w:rsidP="00587A1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1 800 000 000 000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980C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0,0110</w:t>
            </w:r>
          </w:p>
        </w:tc>
      </w:tr>
      <w:tr w:rsidR="00E2040B" w:rsidRPr="005257E9" w14:paraId="6056B3A6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BECE" w14:textId="77777777" w:rsidR="00E2040B" w:rsidRPr="005257E9" w:rsidRDefault="00E2040B" w:rsidP="00490DD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BB3B" w14:textId="77777777" w:rsidR="00E2040B" w:rsidRPr="005257E9" w:rsidRDefault="00E2040B" w:rsidP="00587A1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1 800 000 000 000,01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8A78" w14:textId="77777777" w:rsidR="00E2040B" w:rsidRPr="005257E9" w:rsidRDefault="00E2040B" w:rsidP="00587A10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2 000 000 000 000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F4BC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0,0105</w:t>
            </w:r>
          </w:p>
        </w:tc>
      </w:tr>
      <w:tr w:rsidR="00E2040B" w:rsidRPr="005257E9" w14:paraId="0D342223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E1F6" w14:textId="77777777" w:rsidR="00E2040B" w:rsidRPr="005257E9" w:rsidRDefault="00E2040B" w:rsidP="00490DDC">
            <w:pPr>
              <w:pStyle w:val="a4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8178" w14:textId="77777777" w:rsidR="00E2040B" w:rsidRPr="005257E9" w:rsidRDefault="00E2040B" w:rsidP="00587A10">
            <w:pPr>
              <w:pStyle w:val="a4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257E9">
              <w:rPr>
                <w:rFonts w:ascii="Arial" w:hAnsi="Arial" w:cs="Arial"/>
                <w:sz w:val="18"/>
                <w:szCs w:val="18"/>
                <w:lang w:val="en-US"/>
              </w:rPr>
              <w:t>2 000 000 000 000</w:t>
            </w:r>
            <w:r w:rsidRPr="005257E9">
              <w:rPr>
                <w:rFonts w:ascii="Arial" w:hAnsi="Arial" w:cs="Arial"/>
                <w:sz w:val="18"/>
                <w:szCs w:val="18"/>
              </w:rPr>
              <w:t>,1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B008" w14:textId="77777777" w:rsidR="00E2040B" w:rsidRPr="005257E9" w:rsidRDefault="00E2040B" w:rsidP="00587A10">
            <w:pPr>
              <w:pStyle w:val="a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257E9">
              <w:rPr>
                <w:rFonts w:ascii="Arial" w:hAnsi="Arial" w:cs="Arial"/>
                <w:sz w:val="18"/>
                <w:szCs w:val="18"/>
                <w:lang w:val="en-US"/>
              </w:rPr>
              <w:t>0,0100</w:t>
            </w:r>
          </w:p>
        </w:tc>
      </w:tr>
      <w:tr w:rsidR="00E2040B" w:rsidRPr="005257E9" w14:paraId="45608C4B" w14:textId="77777777" w:rsidTr="00490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val="614"/>
        </w:trPr>
        <w:tc>
          <w:tcPr>
            <w:tcW w:w="426" w:type="dxa"/>
          </w:tcPr>
          <w:p w14:paraId="240E5CAD" w14:textId="77777777" w:rsidR="00E2040B" w:rsidRPr="005257E9" w:rsidRDefault="00E2040B" w:rsidP="00490D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20.2</w:t>
            </w:r>
          </w:p>
        </w:tc>
        <w:tc>
          <w:tcPr>
            <w:tcW w:w="9072" w:type="dxa"/>
            <w:gridSpan w:val="4"/>
          </w:tcPr>
          <w:p w14:paraId="56062905" w14:textId="77777777" w:rsidR="00E2040B" w:rsidRPr="005257E9" w:rsidRDefault="00E2040B" w:rsidP="00587A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b/>
                <w:bCs/>
                <w:sz w:val="18"/>
                <w:szCs w:val="18"/>
              </w:rPr>
              <w:t>Ставки ежемесячной платы за услуги по хранению ценных бумаг и/или учету прав на ценные бумаги для  - акций, инвестиционных паев по ценным бумагам, выпущенным в соответствии с законодательством Российской Федерации:</w:t>
            </w:r>
          </w:p>
        </w:tc>
      </w:tr>
      <w:tr w:rsidR="00E2040B" w:rsidRPr="005257E9" w14:paraId="366A6B03" w14:textId="77777777" w:rsidTr="00490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val="851"/>
        </w:trPr>
        <w:tc>
          <w:tcPr>
            <w:tcW w:w="426" w:type="dxa"/>
          </w:tcPr>
          <w:p w14:paraId="23F2ED2B" w14:textId="77777777" w:rsidR="00E2040B" w:rsidRPr="005257E9" w:rsidRDefault="00E2040B" w:rsidP="00490D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39814EE2" w14:textId="77777777" w:rsidR="00E2040B" w:rsidRPr="005257E9" w:rsidRDefault="00E2040B" w:rsidP="000E0A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b/>
                <w:bCs/>
                <w:sz w:val="18"/>
                <w:szCs w:val="18"/>
              </w:rPr>
              <w:t>Стоимость остатка ценных бумаг (руб.)</w:t>
            </w:r>
            <w:r>
              <w:rPr>
                <w:rStyle w:val="a6"/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0BBF9C9" w14:textId="77777777" w:rsidR="00E2040B" w:rsidRPr="005257E9" w:rsidRDefault="00E2040B" w:rsidP="0020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b/>
                <w:bCs/>
                <w:sz w:val="18"/>
                <w:szCs w:val="18"/>
              </w:rPr>
              <w:t>По совокупности открытых счетов Депонента в Депозитарии</w:t>
            </w:r>
          </w:p>
        </w:tc>
      </w:tr>
      <w:tr w:rsidR="00E2040B" w:rsidRPr="005257E9" w14:paraId="594F763F" w14:textId="77777777" w:rsidTr="00C670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6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782" w14:textId="77777777" w:rsidR="00E2040B" w:rsidRPr="005257E9" w:rsidRDefault="00E2040B" w:rsidP="00490D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082C4" w14:textId="77777777" w:rsidR="00E2040B" w:rsidRPr="005257E9" w:rsidRDefault="00E2040B" w:rsidP="002034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57E9">
              <w:rPr>
                <w:rFonts w:ascii="Arial" w:hAnsi="Arial" w:cs="Arial"/>
                <w:b/>
                <w:sz w:val="18"/>
                <w:szCs w:val="18"/>
              </w:rPr>
              <w:t>От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155931" w14:textId="77777777" w:rsidR="00E2040B" w:rsidRPr="005257E9" w:rsidRDefault="00E2040B" w:rsidP="002034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57E9">
              <w:rPr>
                <w:rFonts w:ascii="Arial" w:hAnsi="Arial" w:cs="Arial"/>
                <w:b/>
                <w:sz w:val="18"/>
                <w:szCs w:val="18"/>
              </w:rPr>
              <w:t>До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B8B49" w14:textId="77777777" w:rsidR="00E2040B" w:rsidRDefault="00E2040B" w:rsidP="00C670D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57E9">
              <w:rPr>
                <w:rFonts w:ascii="Arial" w:hAnsi="Arial" w:cs="Arial"/>
                <w:b/>
                <w:sz w:val="18"/>
                <w:szCs w:val="18"/>
              </w:rPr>
              <w:t>Ставка % годовых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14:paraId="2EEB4B4F" w14:textId="77777777" w:rsidR="00E2040B" w:rsidRDefault="00E2040B" w:rsidP="00587A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3634">
              <w:rPr>
                <w:rFonts w:ascii="Arial" w:hAnsi="Arial" w:cs="Arial"/>
                <w:sz w:val="18"/>
                <w:szCs w:val="18"/>
              </w:rPr>
              <w:t>мин. 500 рублей</w:t>
            </w:r>
          </w:p>
          <w:p w14:paraId="13B4DCBC" w14:textId="77777777" w:rsidR="00E2040B" w:rsidRDefault="00E2040B" w:rsidP="00587A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84D345" w14:textId="77777777" w:rsidR="00E2040B" w:rsidRDefault="00E2040B" w:rsidP="00587A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A9AFAC" w14:textId="77777777" w:rsidR="00E2040B" w:rsidRDefault="00E2040B" w:rsidP="00587A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C51667" w14:textId="77777777" w:rsidR="00E2040B" w:rsidRDefault="00E2040B" w:rsidP="00587A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F93ABF" w14:textId="77777777" w:rsidR="00E2040B" w:rsidRPr="005257E9" w:rsidRDefault="00E2040B" w:rsidP="002034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2040B" w:rsidRPr="005257E9" w14:paraId="21D143E6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825F4" w14:textId="77777777" w:rsidR="00E2040B" w:rsidRPr="005257E9" w:rsidRDefault="00E2040B" w:rsidP="00490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4DE08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D68AF6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5 000 000 000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DBFBB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0,0115</w:t>
            </w:r>
          </w:p>
        </w:tc>
      </w:tr>
      <w:tr w:rsidR="00E2040B" w:rsidRPr="005257E9" w14:paraId="3FB21A0E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695A9" w14:textId="77777777" w:rsidR="00E2040B" w:rsidRPr="005257E9" w:rsidRDefault="00E2040B" w:rsidP="00490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85CB3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5 000 000 000,01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18EC81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10 000 000 000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61AE2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0,0113</w:t>
            </w:r>
          </w:p>
        </w:tc>
      </w:tr>
      <w:tr w:rsidR="00E2040B" w:rsidRPr="005257E9" w14:paraId="6A385CF3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6FA4" w14:textId="77777777" w:rsidR="00E2040B" w:rsidRPr="005257E9" w:rsidRDefault="00E2040B" w:rsidP="00490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DB747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10 000 000 000,01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DCEA52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 xml:space="preserve">20 000 000 000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6293A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0,0110</w:t>
            </w:r>
          </w:p>
        </w:tc>
      </w:tr>
      <w:tr w:rsidR="00E2040B" w:rsidRPr="005257E9" w14:paraId="521B6C41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D00A" w14:textId="77777777" w:rsidR="00E2040B" w:rsidRPr="005257E9" w:rsidRDefault="00E2040B" w:rsidP="00490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3C979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20 000 000 000,01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552FD9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 xml:space="preserve">30 000 000 000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1992A4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0,0105</w:t>
            </w:r>
          </w:p>
        </w:tc>
      </w:tr>
      <w:tr w:rsidR="00E2040B" w:rsidRPr="005257E9" w14:paraId="406A6231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4C8D1" w14:textId="77777777" w:rsidR="00E2040B" w:rsidRPr="005257E9" w:rsidRDefault="00E2040B" w:rsidP="00490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8AD2E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30 000 000 000,01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C87A7A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 xml:space="preserve">50 000 000 000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F8B94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0,0095</w:t>
            </w:r>
          </w:p>
        </w:tc>
      </w:tr>
      <w:tr w:rsidR="00E2040B" w:rsidRPr="005257E9" w14:paraId="210B61F9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B8D5" w14:textId="77777777" w:rsidR="00E2040B" w:rsidRPr="005257E9" w:rsidRDefault="00E2040B" w:rsidP="00490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0A4B6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50 000 000 000,01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4BB215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 xml:space="preserve">125 000 000 000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BB2E9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0,0085</w:t>
            </w:r>
          </w:p>
        </w:tc>
      </w:tr>
      <w:tr w:rsidR="00E2040B" w:rsidRPr="005257E9" w14:paraId="33A6A86D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5251" w14:textId="77777777" w:rsidR="00E2040B" w:rsidRPr="005257E9" w:rsidRDefault="00E2040B" w:rsidP="00490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4C47F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125 000 000 000,01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22F229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500 000 000 000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0E750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0,0068</w:t>
            </w:r>
          </w:p>
        </w:tc>
      </w:tr>
      <w:tr w:rsidR="00E2040B" w:rsidRPr="005257E9" w14:paraId="6F543FAB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83890" w14:textId="77777777" w:rsidR="00E2040B" w:rsidRPr="005257E9" w:rsidRDefault="00E2040B" w:rsidP="00490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EB36C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500 000 000 000,01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F5F82B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1 000 000 000 000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E83D4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0,0068</w:t>
            </w:r>
          </w:p>
        </w:tc>
      </w:tr>
      <w:tr w:rsidR="00E2040B" w:rsidRPr="005257E9" w14:paraId="189AE070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B7371" w14:textId="77777777" w:rsidR="00E2040B" w:rsidRPr="005257E9" w:rsidRDefault="00E2040B" w:rsidP="00490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87451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1 000 000 000 000,01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031F19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 xml:space="preserve">1 500 000 000 000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CA31F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0,0050</w:t>
            </w:r>
          </w:p>
        </w:tc>
      </w:tr>
      <w:tr w:rsidR="00E2040B" w:rsidRPr="005257E9" w14:paraId="6870DC0A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0F797" w14:textId="77777777" w:rsidR="00E2040B" w:rsidRPr="005257E9" w:rsidRDefault="00E2040B" w:rsidP="00490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71999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1 500 000 000 000,01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ADCFD6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 xml:space="preserve">1 800 000 000 000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B02A2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0,0040</w:t>
            </w:r>
          </w:p>
        </w:tc>
      </w:tr>
      <w:tr w:rsidR="00E2040B" w:rsidRPr="005257E9" w14:paraId="1AEF1B30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647A5" w14:textId="77777777" w:rsidR="00E2040B" w:rsidRPr="005257E9" w:rsidRDefault="00E2040B" w:rsidP="00490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760E2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1 800 000 000 000,01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7C6CB5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 xml:space="preserve">2 000 000 000 000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334D9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sz w:val="18"/>
                <w:szCs w:val="18"/>
              </w:rPr>
              <w:t>0,0028</w:t>
            </w:r>
          </w:p>
        </w:tc>
      </w:tr>
      <w:tr w:rsidR="00E2040B" w:rsidRPr="005257E9" w14:paraId="07E195AA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F2B64F" w14:textId="77777777" w:rsidR="00E2040B" w:rsidRPr="005257E9" w:rsidRDefault="00E2040B" w:rsidP="00490DDC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48E58B" w14:textId="77777777" w:rsidR="00E2040B" w:rsidRPr="005257E9" w:rsidRDefault="00E2040B" w:rsidP="00587A10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257E9">
              <w:rPr>
                <w:rFonts w:ascii="Arial" w:hAnsi="Arial" w:cs="Arial"/>
                <w:sz w:val="18"/>
                <w:szCs w:val="18"/>
                <w:lang w:val="en-US"/>
              </w:rPr>
              <w:t>2 000 000 000 000</w:t>
            </w:r>
            <w:r w:rsidRPr="005257E9">
              <w:rPr>
                <w:rFonts w:ascii="Arial" w:hAnsi="Arial" w:cs="Arial"/>
                <w:sz w:val="18"/>
                <w:szCs w:val="18"/>
              </w:rPr>
              <w:t>,01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ACE1B" w14:textId="77777777" w:rsidR="00E2040B" w:rsidRPr="005257E9" w:rsidRDefault="00E2040B" w:rsidP="00587A1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257E9">
              <w:rPr>
                <w:rFonts w:ascii="Arial" w:hAnsi="Arial" w:cs="Arial"/>
                <w:sz w:val="18"/>
                <w:szCs w:val="18"/>
                <w:lang w:val="en-US"/>
              </w:rPr>
              <w:t>0,0025</w:t>
            </w:r>
          </w:p>
        </w:tc>
      </w:tr>
      <w:tr w:rsidR="00E2040B" w:rsidRPr="005257E9" w14:paraId="4550DB66" w14:textId="77777777" w:rsidTr="00490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val="614"/>
        </w:trPr>
        <w:tc>
          <w:tcPr>
            <w:tcW w:w="426" w:type="dxa"/>
          </w:tcPr>
          <w:p w14:paraId="7437428B" w14:textId="77777777" w:rsidR="00E2040B" w:rsidRPr="005257E9" w:rsidRDefault="00E2040B" w:rsidP="00490D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20.3</w:t>
            </w:r>
          </w:p>
        </w:tc>
        <w:tc>
          <w:tcPr>
            <w:tcW w:w="9072" w:type="dxa"/>
            <w:gridSpan w:val="4"/>
          </w:tcPr>
          <w:p w14:paraId="0700D0A4" w14:textId="77777777" w:rsidR="00E2040B" w:rsidRPr="00587A10" w:rsidRDefault="00E2040B" w:rsidP="00755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Ставки ежемесячной платы за услуги по хранению ценных бумаг и/или учету прав на ценные </w:t>
            </w:r>
            <w:r w:rsidRPr="001C5A3A">
              <w:rPr>
                <w:rFonts w:ascii="Arial" w:hAnsi="Arial" w:cs="Arial"/>
                <w:b/>
                <w:bCs/>
                <w:sz w:val="18"/>
                <w:szCs w:val="18"/>
              </w:rPr>
              <w:t>бумаги (за исключением облигаций),</w:t>
            </w:r>
            <w:r w:rsidRPr="005257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учитываемых в международных депозитариях:</w:t>
            </w:r>
          </w:p>
        </w:tc>
      </w:tr>
      <w:tr w:rsidR="00E2040B" w:rsidRPr="005257E9" w14:paraId="770B4E87" w14:textId="77777777" w:rsidTr="00490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val="851"/>
        </w:trPr>
        <w:tc>
          <w:tcPr>
            <w:tcW w:w="426" w:type="dxa"/>
          </w:tcPr>
          <w:p w14:paraId="49FDBE42" w14:textId="77777777" w:rsidR="00E2040B" w:rsidRPr="005257E9" w:rsidRDefault="00E2040B" w:rsidP="00490D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2678BA87" w14:textId="77777777" w:rsidR="00E2040B" w:rsidRPr="00587A10" w:rsidRDefault="00E2040B" w:rsidP="000E0A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b/>
                <w:bCs/>
                <w:sz w:val="18"/>
                <w:szCs w:val="18"/>
              </w:rPr>
              <w:t>Стоимость остатка ценных бумаг (рублей)</w:t>
            </w:r>
            <w:r>
              <w:rPr>
                <w:rStyle w:val="a6"/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0988AA3" w14:textId="77777777" w:rsidR="00E2040B" w:rsidRPr="00587A10" w:rsidRDefault="00E2040B" w:rsidP="002034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57E9">
              <w:rPr>
                <w:rFonts w:ascii="Arial" w:hAnsi="Arial" w:cs="Arial"/>
                <w:b/>
                <w:bCs/>
                <w:sz w:val="18"/>
                <w:szCs w:val="18"/>
              </w:rPr>
              <w:t>По совокупности открытых счетов Депонента в Депозитарии</w:t>
            </w:r>
          </w:p>
        </w:tc>
      </w:tr>
      <w:tr w:rsidR="00E2040B" w:rsidRPr="00176357" w14:paraId="17A182C3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6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7D8B" w14:textId="77777777" w:rsidR="00E2040B" w:rsidRPr="00176357" w:rsidRDefault="00E2040B" w:rsidP="00490DDC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CFD1C" w14:textId="77777777" w:rsidR="00E2040B" w:rsidRPr="00C670D0" w:rsidRDefault="00E2040B" w:rsidP="00176357">
            <w:pPr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670D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36FD2E" w14:textId="77777777" w:rsidR="00E2040B" w:rsidRPr="00C670D0" w:rsidRDefault="00E2040B" w:rsidP="00176357">
            <w:pPr>
              <w:spacing w:after="0" w:line="240" w:lineRule="auto"/>
              <w:ind w:firstLine="72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670D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До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9B97AB" w14:textId="77777777" w:rsidR="00E2040B" w:rsidRPr="00C670D0" w:rsidRDefault="00E2040B" w:rsidP="00C67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670D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Ставка % годовых,</w:t>
            </w:r>
          </w:p>
          <w:p w14:paraId="48163950" w14:textId="77777777" w:rsidR="00E2040B" w:rsidRPr="00C670D0" w:rsidRDefault="00E2040B" w:rsidP="00C670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мин. 5</w:t>
            </w:r>
            <w:r w:rsidRPr="00C670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  рублей</w:t>
            </w:r>
          </w:p>
        </w:tc>
      </w:tr>
      <w:tr w:rsidR="00E2040B" w:rsidRPr="00176357" w14:paraId="1DF3FB05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23E5F" w14:textId="77777777" w:rsidR="00E2040B" w:rsidRPr="00176357" w:rsidRDefault="00E2040B" w:rsidP="00490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F7995" w14:textId="77777777" w:rsidR="00E2040B" w:rsidRPr="00176357" w:rsidRDefault="00E2040B" w:rsidP="001763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A83661" w14:textId="77777777" w:rsidR="00E2040B" w:rsidRPr="00176357" w:rsidRDefault="00E2040B" w:rsidP="001763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100 000 000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AD46B" w14:textId="77777777" w:rsidR="00E2040B" w:rsidRPr="00176357" w:rsidRDefault="00E2040B" w:rsidP="001763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0,024</w:t>
            </w:r>
          </w:p>
        </w:tc>
      </w:tr>
      <w:tr w:rsidR="00E2040B" w:rsidRPr="00176357" w14:paraId="5F8B0724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1A2BE" w14:textId="77777777" w:rsidR="00E2040B" w:rsidRPr="00176357" w:rsidRDefault="00E2040B" w:rsidP="00490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D2824" w14:textId="77777777" w:rsidR="00E2040B" w:rsidRPr="00176357" w:rsidRDefault="00E2040B" w:rsidP="001763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100 000 000,01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F9D41B" w14:textId="77777777" w:rsidR="00E2040B" w:rsidRPr="00176357" w:rsidRDefault="00E2040B" w:rsidP="001763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500 000 000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AE047" w14:textId="77777777" w:rsidR="00E2040B" w:rsidRPr="00176357" w:rsidRDefault="00E2040B" w:rsidP="001763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0,024</w:t>
            </w:r>
          </w:p>
        </w:tc>
      </w:tr>
      <w:tr w:rsidR="00E2040B" w:rsidRPr="00176357" w14:paraId="45B7BD85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D9F3" w14:textId="77777777" w:rsidR="00E2040B" w:rsidRPr="00176357" w:rsidRDefault="00E2040B" w:rsidP="00490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F325F" w14:textId="77777777" w:rsidR="00E2040B" w:rsidRPr="00176357" w:rsidRDefault="00E2040B" w:rsidP="001763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500 000 000,01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FC19FE" w14:textId="77777777" w:rsidR="00E2040B" w:rsidRPr="00176357" w:rsidRDefault="00E2040B" w:rsidP="001763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1 150 000 000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DD096" w14:textId="77777777" w:rsidR="00E2040B" w:rsidRPr="00176357" w:rsidRDefault="00E2040B" w:rsidP="001763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0,024</w:t>
            </w:r>
          </w:p>
        </w:tc>
      </w:tr>
      <w:tr w:rsidR="00E2040B" w:rsidRPr="00176357" w14:paraId="3C236229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658B" w14:textId="77777777" w:rsidR="00E2040B" w:rsidRPr="00176357" w:rsidRDefault="00E2040B" w:rsidP="00490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A5140" w14:textId="77777777" w:rsidR="00E2040B" w:rsidRPr="00176357" w:rsidRDefault="00E2040B" w:rsidP="001763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1 150 000 000, 01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CBD03A" w14:textId="77777777" w:rsidR="00E2040B" w:rsidRPr="00176357" w:rsidRDefault="00E2040B" w:rsidP="001763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2 500 000 000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021F4" w14:textId="77777777" w:rsidR="00E2040B" w:rsidRPr="00176357" w:rsidRDefault="00E2040B" w:rsidP="001763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</w:t>
            </w:r>
          </w:p>
        </w:tc>
      </w:tr>
      <w:tr w:rsidR="00E2040B" w:rsidRPr="00176357" w14:paraId="065E8786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9948A" w14:textId="77777777" w:rsidR="00E2040B" w:rsidRPr="00176357" w:rsidRDefault="00E2040B" w:rsidP="00490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43D36" w14:textId="77777777" w:rsidR="00E2040B" w:rsidRPr="00176357" w:rsidRDefault="00E2040B" w:rsidP="001763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2 500 000 000, 01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ED1A9B" w14:textId="77777777" w:rsidR="00E2040B" w:rsidRPr="00176357" w:rsidRDefault="00E2040B" w:rsidP="001763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5 000 000 000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28BEB" w14:textId="77777777" w:rsidR="00E2040B" w:rsidRPr="00176357" w:rsidRDefault="00E2040B" w:rsidP="001763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</w:t>
            </w:r>
          </w:p>
        </w:tc>
      </w:tr>
      <w:tr w:rsidR="00E2040B" w:rsidRPr="00176357" w14:paraId="0F7337BE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C84A" w14:textId="77777777" w:rsidR="00E2040B" w:rsidRPr="00176357" w:rsidRDefault="00E2040B" w:rsidP="00490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DA9F4" w14:textId="77777777" w:rsidR="00E2040B" w:rsidRPr="00176357" w:rsidRDefault="00E2040B" w:rsidP="001763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5 000 000 000,01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9DE536" w14:textId="77777777" w:rsidR="00E2040B" w:rsidRPr="00176357" w:rsidRDefault="00E2040B" w:rsidP="001763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6 000 000 000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F0DDB" w14:textId="77777777" w:rsidR="00E2040B" w:rsidRPr="00176357" w:rsidRDefault="00E2040B" w:rsidP="001763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</w:t>
            </w:r>
          </w:p>
        </w:tc>
      </w:tr>
      <w:tr w:rsidR="00E2040B" w:rsidRPr="00176357" w14:paraId="7E2B0B31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3BCE" w14:textId="77777777" w:rsidR="00E2040B" w:rsidRPr="00176357" w:rsidRDefault="00E2040B" w:rsidP="00490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92820" w14:textId="77777777" w:rsidR="00E2040B" w:rsidRPr="00176357" w:rsidRDefault="00E2040B" w:rsidP="001763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6 000 000 000,01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4528BF" w14:textId="77777777" w:rsidR="00E2040B" w:rsidRPr="00176357" w:rsidRDefault="00E2040B" w:rsidP="001763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10 000 000 000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8E80E" w14:textId="77777777" w:rsidR="00E2040B" w:rsidRPr="00176357" w:rsidRDefault="00E2040B" w:rsidP="001763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0,016</w:t>
            </w:r>
          </w:p>
        </w:tc>
      </w:tr>
      <w:tr w:rsidR="00E2040B" w:rsidRPr="00176357" w14:paraId="01957A36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95A26" w14:textId="77777777" w:rsidR="00E2040B" w:rsidRPr="00176357" w:rsidRDefault="00E2040B" w:rsidP="00490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44DAF" w14:textId="77777777" w:rsidR="00E2040B" w:rsidRPr="00176357" w:rsidRDefault="00E2040B" w:rsidP="001763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10 000 000 000,01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84D8F1" w14:textId="77777777" w:rsidR="00E2040B" w:rsidRPr="00176357" w:rsidRDefault="00E2040B" w:rsidP="001763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20 000 000 000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34908" w14:textId="77777777" w:rsidR="00E2040B" w:rsidRPr="00176357" w:rsidRDefault="00E2040B" w:rsidP="001763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0,016</w:t>
            </w:r>
          </w:p>
        </w:tc>
      </w:tr>
      <w:tr w:rsidR="00E2040B" w:rsidRPr="00176357" w14:paraId="4C2B0B85" w14:textId="77777777" w:rsidTr="00490D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46" w:type="dxa"/>
          <w:trHeight w:hRule="exact" w:val="4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7E2AAF" w14:textId="77777777" w:rsidR="00E2040B" w:rsidRPr="00176357" w:rsidRDefault="00E2040B" w:rsidP="00490DD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3866EF" w14:textId="77777777" w:rsidR="00E2040B" w:rsidRPr="00176357" w:rsidRDefault="00E2040B" w:rsidP="0017635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176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20 000 000 000,01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1A16F" w14:textId="77777777" w:rsidR="00E2040B" w:rsidRPr="00176357" w:rsidRDefault="00E2040B" w:rsidP="001763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3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0,016</w:t>
            </w:r>
          </w:p>
        </w:tc>
      </w:tr>
    </w:tbl>
    <w:p w14:paraId="2A65D23F" w14:textId="77777777" w:rsidR="008C71BE" w:rsidRDefault="008C71BE" w:rsidP="00176357">
      <w:pPr>
        <w:spacing w:after="0" w:line="240" w:lineRule="auto"/>
        <w:jc w:val="both"/>
        <w:rPr>
          <w:rFonts w:ascii="Arial" w:hAnsi="Arial" w:cs="Arial"/>
          <w:b/>
        </w:rPr>
      </w:pPr>
    </w:p>
    <w:p w14:paraId="1F3F8811" w14:textId="77777777" w:rsidR="00176357" w:rsidRPr="005257E9" w:rsidRDefault="00176357" w:rsidP="0017635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257E9">
        <w:rPr>
          <w:rFonts w:ascii="Arial" w:hAnsi="Arial" w:cs="Arial"/>
          <w:b/>
        </w:rPr>
        <w:t>Примечания:</w:t>
      </w:r>
    </w:p>
    <w:p w14:paraId="6353AB19" w14:textId="77777777" w:rsidR="00176357" w:rsidRPr="005257E9" w:rsidRDefault="00176357" w:rsidP="00176357">
      <w:pPr>
        <w:pStyle w:val="a7"/>
        <w:numPr>
          <w:ilvl w:val="0"/>
          <w:numId w:val="2"/>
        </w:num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5257E9">
        <w:rPr>
          <w:rFonts w:ascii="Arial" w:eastAsia="Times New Roman" w:hAnsi="Arial" w:cs="Arial"/>
          <w:sz w:val="18"/>
          <w:szCs w:val="18"/>
          <w:lang w:eastAsia="ru-RU"/>
        </w:rPr>
        <w:t>Плата за хранение облигаций эмитентов, допустивших дефолт по обязательствам, – не взимается.</w:t>
      </w:r>
    </w:p>
    <w:p w14:paraId="1BD7BD65" w14:textId="77777777" w:rsidR="00176357" w:rsidRPr="005257E9" w:rsidRDefault="00176357" w:rsidP="00176357">
      <w:pPr>
        <w:pStyle w:val="a7"/>
        <w:numPr>
          <w:ilvl w:val="0"/>
          <w:numId w:val="2"/>
        </w:num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5257E9">
        <w:rPr>
          <w:rFonts w:ascii="Arial" w:eastAsia="Times New Roman" w:hAnsi="Arial" w:cs="Arial"/>
          <w:sz w:val="18"/>
          <w:szCs w:val="18"/>
          <w:lang w:eastAsia="ru-RU"/>
        </w:rPr>
        <w:t xml:space="preserve">Услуги, оказанные Депозитарием в рамках лицензируемой деятельности, на основании п.п. 12.2 п. 2 ст. 149 НК РФ не облагаются НДС. Прочие услуги, оказанные Депозитарием в рамках Условий осуществления депозитарной деятельности ООО ИК «САВ Капитал», подлежат обложению НДС. </w:t>
      </w:r>
    </w:p>
    <w:p w14:paraId="3E8980F7" w14:textId="77777777" w:rsidR="00176357" w:rsidRPr="005257E9" w:rsidRDefault="00176357" w:rsidP="00176357">
      <w:pPr>
        <w:pStyle w:val="a7"/>
        <w:numPr>
          <w:ilvl w:val="0"/>
          <w:numId w:val="2"/>
        </w:num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5257E9">
        <w:rPr>
          <w:rFonts w:ascii="Arial" w:eastAsia="Times New Roman" w:hAnsi="Arial" w:cs="Arial"/>
          <w:sz w:val="18"/>
          <w:szCs w:val="18"/>
          <w:lang w:eastAsia="ru-RU"/>
        </w:rPr>
        <w:t>Затраты взимаемые третьими лицами с Депозитария по услугам предоставленным депоненту, но не указанные в Тарифах, возмещаются депонентом.</w:t>
      </w:r>
    </w:p>
    <w:p w14:paraId="3C256331" w14:textId="77777777" w:rsidR="00176357" w:rsidRDefault="00176357" w:rsidP="00176357">
      <w:pPr>
        <w:pStyle w:val="a7"/>
        <w:numPr>
          <w:ilvl w:val="0"/>
          <w:numId w:val="2"/>
        </w:num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5257E9">
        <w:rPr>
          <w:rFonts w:ascii="Arial" w:eastAsia="Times New Roman" w:hAnsi="Arial" w:cs="Arial"/>
          <w:sz w:val="18"/>
          <w:szCs w:val="18"/>
          <w:lang w:eastAsia="ru-RU"/>
        </w:rPr>
        <w:t>Затраты взимаемые третьими лицами, в иностранной валюте возмещаются депонентом в валюте Российской Федерации по курсу Банка России на дату списания затрат третьим лицом.</w:t>
      </w:r>
    </w:p>
    <w:p w14:paraId="015B1204" w14:textId="77777777" w:rsidR="00176357" w:rsidRPr="005257E9" w:rsidRDefault="00176357" w:rsidP="00176357">
      <w:pPr>
        <w:pStyle w:val="a7"/>
        <w:numPr>
          <w:ilvl w:val="0"/>
          <w:numId w:val="2"/>
        </w:num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5257E9">
        <w:rPr>
          <w:rFonts w:ascii="Arial" w:eastAsia="Times New Roman" w:hAnsi="Arial" w:cs="Arial"/>
          <w:sz w:val="18"/>
          <w:szCs w:val="18"/>
          <w:lang w:eastAsia="ru-RU"/>
        </w:rPr>
        <w:t>Ежемесячная плата за услуги по хранению ценных бумаг и/или учету прав на ценные бумаги рассчитывается по формуле:</w:t>
      </w:r>
    </w:p>
    <w:p w14:paraId="1DCED44F" w14:textId="77777777" w:rsidR="00176357" w:rsidRPr="00176357" w:rsidRDefault="00176357" w:rsidP="00176357">
      <w:pPr>
        <w:spacing w:after="0" w:line="240" w:lineRule="auto"/>
        <w:ind w:left="-426" w:firstLine="426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76357">
        <w:rPr>
          <w:rFonts w:ascii="Arial" w:eastAsia="Times New Roman" w:hAnsi="Arial" w:cs="Arial"/>
          <w:b/>
          <w:sz w:val="18"/>
          <w:szCs w:val="18"/>
          <w:lang w:eastAsia="ru-RU"/>
        </w:rPr>
        <w:t>(Стоимость остатка ценных бумаг ×количество дней в месяце)/360×Ставка тарифа в % годовых</w:t>
      </w:r>
    </w:p>
    <w:p w14:paraId="22B39EAA" w14:textId="77777777" w:rsidR="00176357" w:rsidRPr="00176357" w:rsidRDefault="00176357" w:rsidP="00176357">
      <w:pPr>
        <w:spacing w:after="0" w:line="240" w:lineRule="auto"/>
        <w:ind w:left="-426"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FDA9511" w14:textId="77777777" w:rsidR="00176357" w:rsidRPr="00176357" w:rsidRDefault="00176357" w:rsidP="00176357">
      <w:pPr>
        <w:spacing w:after="0" w:line="240" w:lineRule="auto"/>
        <w:ind w:left="-426"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76357">
        <w:rPr>
          <w:rFonts w:ascii="Arial" w:eastAsia="Times New Roman" w:hAnsi="Arial" w:cs="Arial"/>
          <w:sz w:val="18"/>
          <w:szCs w:val="18"/>
          <w:lang w:eastAsia="ru-RU"/>
        </w:rPr>
        <w:t>Рыночная стоимость для определения размера Тарифа Депозитария определяется в следующем порядке:</w:t>
      </w:r>
    </w:p>
    <w:p w14:paraId="5F95A34C" w14:textId="77777777" w:rsidR="00176357" w:rsidRPr="00176357" w:rsidRDefault="00176357" w:rsidP="00176357">
      <w:pPr>
        <w:spacing w:after="0" w:line="240" w:lineRule="auto"/>
        <w:ind w:left="-426"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76357">
        <w:rPr>
          <w:rFonts w:ascii="Arial" w:eastAsia="Times New Roman" w:hAnsi="Arial" w:cs="Arial"/>
          <w:sz w:val="18"/>
          <w:szCs w:val="18"/>
          <w:lang w:eastAsia="ru-RU"/>
        </w:rPr>
        <w:t xml:space="preserve">при оценке рыночной стоимости акций акционерных обществ, инвестиционных паев паевых инвестиционных фондов и депозитарных расписок используется доступная Депозитарию информация, официально предоставляемая организаторами торговли или информационными системами (при отсутствии рыночных цен, определенных организаторами торговли). </w:t>
      </w:r>
    </w:p>
    <w:p w14:paraId="0AA69558" w14:textId="77777777" w:rsidR="00176357" w:rsidRPr="00176357" w:rsidRDefault="00176357" w:rsidP="00176357">
      <w:pPr>
        <w:spacing w:after="0" w:line="240" w:lineRule="auto"/>
        <w:ind w:left="-426"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76357">
        <w:rPr>
          <w:rFonts w:ascii="Arial" w:eastAsia="Times New Roman" w:hAnsi="Arial" w:cs="Arial"/>
          <w:sz w:val="18"/>
          <w:szCs w:val="18"/>
          <w:lang w:eastAsia="ru-RU"/>
        </w:rPr>
        <w:t>При этом устанавливается следующий приоритет использования котировок:</w:t>
      </w:r>
    </w:p>
    <w:p w14:paraId="33BC18AD" w14:textId="77777777" w:rsidR="00176357" w:rsidRPr="00176357" w:rsidRDefault="00176357" w:rsidP="00176357">
      <w:pPr>
        <w:spacing w:after="0" w:line="240" w:lineRule="auto"/>
        <w:ind w:left="-426"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76357">
        <w:rPr>
          <w:rFonts w:ascii="Arial" w:eastAsia="Times New Roman" w:hAnsi="Arial" w:cs="Arial"/>
          <w:sz w:val="18"/>
          <w:szCs w:val="18"/>
          <w:lang w:eastAsia="ru-RU"/>
        </w:rPr>
        <w:t>Для ценных бумаг российских эмитентов, номинированных в рублях:</w:t>
      </w:r>
    </w:p>
    <w:p w14:paraId="520B782B" w14:textId="77777777" w:rsidR="00176357" w:rsidRPr="00176357" w:rsidRDefault="00176357" w:rsidP="00176357">
      <w:pPr>
        <w:spacing w:after="0" w:line="240" w:lineRule="auto"/>
        <w:ind w:left="-426"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76357">
        <w:rPr>
          <w:rFonts w:ascii="Arial" w:eastAsia="Times New Roman" w:hAnsi="Arial" w:cs="Arial"/>
          <w:sz w:val="18"/>
          <w:szCs w:val="18"/>
          <w:lang w:eastAsia="ru-RU"/>
        </w:rPr>
        <w:t>•</w:t>
      </w:r>
      <w:r w:rsidRPr="00176357">
        <w:rPr>
          <w:rFonts w:ascii="Arial" w:eastAsia="Times New Roman" w:hAnsi="Arial" w:cs="Arial"/>
          <w:sz w:val="18"/>
          <w:szCs w:val="18"/>
          <w:lang w:eastAsia="ru-RU"/>
        </w:rPr>
        <w:tab/>
        <w:t>Приоритет 1 (Высший) – средневзвешенная цена, раскрываемая организатором торговли ПАО Московская биржа на дату, ближайшую к дате осуществления переоценки из предшествующих ей 90 торговых дней;</w:t>
      </w:r>
    </w:p>
    <w:p w14:paraId="1D0DE2DD" w14:textId="77777777" w:rsidR="00176357" w:rsidRPr="00176357" w:rsidRDefault="00176357" w:rsidP="00176357">
      <w:pPr>
        <w:spacing w:after="0" w:line="240" w:lineRule="auto"/>
        <w:ind w:left="-426"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76357">
        <w:rPr>
          <w:rFonts w:ascii="Arial" w:eastAsia="Times New Roman" w:hAnsi="Arial" w:cs="Arial"/>
          <w:sz w:val="18"/>
          <w:szCs w:val="18"/>
          <w:lang w:eastAsia="ru-RU"/>
        </w:rPr>
        <w:t>•</w:t>
      </w:r>
      <w:r w:rsidRPr="00176357">
        <w:rPr>
          <w:rFonts w:ascii="Arial" w:eastAsia="Times New Roman" w:hAnsi="Arial" w:cs="Arial"/>
          <w:sz w:val="18"/>
          <w:szCs w:val="18"/>
          <w:lang w:eastAsia="ru-RU"/>
        </w:rPr>
        <w:tab/>
        <w:t>Приоритет 2 – цена последней сделки, раскрываемая</w:t>
      </w:r>
      <w:r w:rsidR="00D23F65">
        <w:rPr>
          <w:rFonts w:ascii="Arial" w:eastAsia="Times New Roman" w:hAnsi="Arial" w:cs="Arial"/>
          <w:sz w:val="18"/>
          <w:szCs w:val="18"/>
          <w:lang w:eastAsia="ru-RU"/>
        </w:rPr>
        <w:t xml:space="preserve"> российским</w:t>
      </w:r>
      <w:r w:rsidRPr="00176357">
        <w:rPr>
          <w:rFonts w:ascii="Arial" w:eastAsia="Times New Roman" w:hAnsi="Arial" w:cs="Arial"/>
          <w:sz w:val="18"/>
          <w:szCs w:val="18"/>
          <w:lang w:eastAsia="ru-RU"/>
        </w:rPr>
        <w:t xml:space="preserve"> организатором на дату, ближайшую к дате осуществления переоценки из предшествующих ей 90 торговых дней;</w:t>
      </w:r>
    </w:p>
    <w:p w14:paraId="38C4F893" w14:textId="77777777" w:rsidR="00176357" w:rsidRPr="00176357" w:rsidRDefault="00176357" w:rsidP="00176357">
      <w:pPr>
        <w:spacing w:after="0" w:line="240" w:lineRule="auto"/>
        <w:ind w:left="-426"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76357">
        <w:rPr>
          <w:rFonts w:ascii="Arial" w:eastAsia="Times New Roman" w:hAnsi="Arial" w:cs="Arial"/>
          <w:sz w:val="18"/>
          <w:szCs w:val="18"/>
          <w:lang w:eastAsia="ru-RU"/>
        </w:rPr>
        <w:t>•</w:t>
      </w:r>
      <w:r w:rsidRPr="00176357">
        <w:rPr>
          <w:rFonts w:ascii="Arial" w:eastAsia="Times New Roman" w:hAnsi="Arial" w:cs="Arial"/>
          <w:sz w:val="18"/>
          <w:szCs w:val="18"/>
          <w:lang w:eastAsia="ru-RU"/>
        </w:rPr>
        <w:tab/>
        <w:t>Приоритет 3 – цены/котировки, раскрываемые признанными источниками информациями, в том числе информационной системой  Интерфакс, на дату, ближайшую к дате осуществления переоценки из предшествующих ей 90 торговых дней.</w:t>
      </w:r>
    </w:p>
    <w:p w14:paraId="7780F365" w14:textId="77777777" w:rsidR="00176357" w:rsidRPr="00176357" w:rsidRDefault="00176357" w:rsidP="00176357">
      <w:pPr>
        <w:spacing w:after="0" w:line="240" w:lineRule="auto"/>
        <w:ind w:left="-426"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76357">
        <w:rPr>
          <w:rFonts w:ascii="Arial" w:eastAsia="Times New Roman" w:hAnsi="Arial" w:cs="Arial"/>
          <w:sz w:val="18"/>
          <w:szCs w:val="18"/>
          <w:lang w:eastAsia="ru-RU"/>
        </w:rPr>
        <w:t>Для ценных бумаг иностранных эмитентов и ценных бумаг российских эмитентов, номинированных в иностранной валюте:</w:t>
      </w:r>
    </w:p>
    <w:p w14:paraId="29065B49" w14:textId="77777777" w:rsidR="00176357" w:rsidRPr="00176357" w:rsidRDefault="00176357" w:rsidP="00176357">
      <w:pPr>
        <w:spacing w:after="0" w:line="240" w:lineRule="auto"/>
        <w:ind w:left="-426"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76357">
        <w:rPr>
          <w:rFonts w:ascii="Arial" w:eastAsia="Times New Roman" w:hAnsi="Arial" w:cs="Arial"/>
          <w:sz w:val="18"/>
          <w:szCs w:val="18"/>
          <w:lang w:eastAsia="ru-RU"/>
        </w:rPr>
        <w:t>•</w:t>
      </w:r>
      <w:r w:rsidRPr="00176357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Приоритет 1 (Высший) – цена закрытия торгов, раскрываемые, организатором торговли </w:t>
      </w:r>
      <w:r w:rsidR="0069593C">
        <w:rPr>
          <w:rFonts w:ascii="Arial" w:eastAsia="Times New Roman" w:hAnsi="Arial" w:cs="Arial"/>
          <w:sz w:val="18"/>
          <w:szCs w:val="18"/>
          <w:lang w:eastAsia="ru-RU"/>
        </w:rPr>
        <w:t xml:space="preserve">АО «Восточная биржа» </w:t>
      </w:r>
      <w:r w:rsidRPr="00176357">
        <w:rPr>
          <w:rFonts w:ascii="Arial" w:eastAsia="Times New Roman" w:hAnsi="Arial" w:cs="Arial"/>
          <w:sz w:val="18"/>
          <w:szCs w:val="18"/>
          <w:lang w:eastAsia="ru-RU"/>
        </w:rPr>
        <w:t>(используется цена закрытия рынка на дату, ближайшую к дате осуществления переоценки из предшествующих ей 90 торговых дней).</w:t>
      </w:r>
    </w:p>
    <w:p w14:paraId="73E8C114" w14:textId="77777777" w:rsidR="00176357" w:rsidRPr="00176357" w:rsidRDefault="00176357" w:rsidP="00176357">
      <w:pPr>
        <w:spacing w:after="0" w:line="240" w:lineRule="auto"/>
        <w:ind w:left="-426"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76357">
        <w:rPr>
          <w:rFonts w:ascii="Arial" w:eastAsia="Times New Roman" w:hAnsi="Arial" w:cs="Arial"/>
          <w:sz w:val="18"/>
          <w:szCs w:val="18"/>
          <w:lang w:eastAsia="ru-RU"/>
        </w:rPr>
        <w:t>•</w:t>
      </w:r>
      <w:r w:rsidRPr="00176357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Приоритет 2 - цены/котировки, раскрываемые признанными источниками информациями, в том числе информационной системой  Интерфакс, на дату, ближайшую к дате осуществления переоценки из предшествующих ей 90 торговых дней. </w:t>
      </w:r>
    </w:p>
    <w:p w14:paraId="434419FF" w14:textId="77777777" w:rsidR="00176357" w:rsidRPr="00176357" w:rsidRDefault="00176357" w:rsidP="00176357">
      <w:pPr>
        <w:spacing w:after="0" w:line="240" w:lineRule="auto"/>
        <w:ind w:left="-426"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76357">
        <w:rPr>
          <w:rFonts w:ascii="Arial" w:eastAsia="Times New Roman" w:hAnsi="Arial" w:cs="Arial"/>
          <w:sz w:val="18"/>
          <w:szCs w:val="18"/>
          <w:lang w:eastAsia="ru-RU"/>
        </w:rPr>
        <w:t>•</w:t>
      </w:r>
      <w:r w:rsidRPr="00176357">
        <w:rPr>
          <w:rFonts w:ascii="Arial" w:eastAsia="Times New Roman" w:hAnsi="Arial" w:cs="Arial"/>
          <w:sz w:val="18"/>
          <w:szCs w:val="18"/>
          <w:lang w:eastAsia="ru-RU"/>
        </w:rPr>
        <w:tab/>
        <w:t>Приоритет 3 – цена закрытия торгов, раскрываемая организатором торговли</w:t>
      </w:r>
      <w:r w:rsidR="00D23F6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176357">
        <w:rPr>
          <w:rFonts w:ascii="Arial" w:eastAsia="Times New Roman" w:hAnsi="Arial" w:cs="Arial"/>
          <w:sz w:val="18"/>
          <w:szCs w:val="18"/>
          <w:lang w:eastAsia="ru-RU"/>
        </w:rPr>
        <w:t xml:space="preserve"> (</w:t>
      </w:r>
      <w:r w:rsidR="00CE2549" w:rsidRPr="00176357">
        <w:rPr>
          <w:rFonts w:ascii="Arial" w:eastAsia="Times New Roman" w:hAnsi="Arial" w:cs="Arial"/>
          <w:sz w:val="18"/>
          <w:szCs w:val="18"/>
          <w:lang w:eastAsia="ru-RU"/>
        </w:rPr>
        <w:t>зарубежн</w:t>
      </w:r>
      <w:r w:rsidR="00CE2549">
        <w:rPr>
          <w:rFonts w:ascii="Arial" w:eastAsia="Times New Roman" w:hAnsi="Arial" w:cs="Arial"/>
          <w:sz w:val="18"/>
          <w:szCs w:val="18"/>
          <w:lang w:eastAsia="ru-RU"/>
        </w:rPr>
        <w:t>ая</w:t>
      </w:r>
      <w:r w:rsidR="00CE2549" w:rsidRPr="00176357">
        <w:rPr>
          <w:rFonts w:ascii="Arial" w:eastAsia="Times New Roman" w:hAnsi="Arial" w:cs="Arial"/>
          <w:sz w:val="18"/>
          <w:szCs w:val="18"/>
          <w:lang w:eastAsia="ru-RU"/>
        </w:rPr>
        <w:t xml:space="preserve"> торгов</w:t>
      </w:r>
      <w:r w:rsidR="00CE2549">
        <w:rPr>
          <w:rFonts w:ascii="Arial" w:eastAsia="Times New Roman" w:hAnsi="Arial" w:cs="Arial"/>
          <w:sz w:val="18"/>
          <w:szCs w:val="18"/>
          <w:lang w:eastAsia="ru-RU"/>
        </w:rPr>
        <w:t>ая</w:t>
      </w:r>
      <w:r w:rsidR="00CE2549" w:rsidRPr="0017635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176357">
        <w:rPr>
          <w:rFonts w:ascii="Arial" w:eastAsia="Times New Roman" w:hAnsi="Arial" w:cs="Arial"/>
          <w:sz w:val="18"/>
          <w:szCs w:val="18"/>
          <w:lang w:eastAsia="ru-RU"/>
        </w:rPr>
        <w:t>с максимальным объемом торгов по количеству ценных бумаг) на дату, ближайшую к дате осуществления переоценки из предшествующих ей 90 торговых дней (используется валюта котировки, в случае отсутствия валюты котировки, рыночная цена признается равной нулю).</w:t>
      </w:r>
    </w:p>
    <w:p w14:paraId="26A61DAF" w14:textId="77777777" w:rsidR="00176357" w:rsidRPr="00176357" w:rsidRDefault="00176357" w:rsidP="00176357">
      <w:pPr>
        <w:spacing w:after="0" w:line="240" w:lineRule="auto"/>
        <w:ind w:left="-426"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76357">
        <w:rPr>
          <w:rFonts w:ascii="Arial" w:eastAsia="Times New Roman" w:hAnsi="Arial" w:cs="Arial"/>
          <w:sz w:val="18"/>
          <w:szCs w:val="18"/>
          <w:lang w:eastAsia="ru-RU"/>
        </w:rPr>
        <w:t>при отсутствии данных о рыночной цене ценных бумаг конкретного эмитента за последние 90 торговых дней, рыночная цена этих ценных бумаг принимается равной нулю;</w:t>
      </w:r>
    </w:p>
    <w:p w14:paraId="4DCD9871" w14:textId="77777777" w:rsidR="00176357" w:rsidRPr="00176357" w:rsidRDefault="00176357" w:rsidP="00176357">
      <w:pPr>
        <w:spacing w:after="0" w:line="240" w:lineRule="auto"/>
        <w:ind w:left="-426"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76357">
        <w:rPr>
          <w:rFonts w:ascii="Arial" w:eastAsia="Times New Roman" w:hAnsi="Arial" w:cs="Arial"/>
          <w:sz w:val="18"/>
          <w:szCs w:val="18"/>
          <w:lang w:eastAsia="ru-RU"/>
        </w:rPr>
        <w:t>если при оценке стоимости конкретной ценной бумаги организатором торговли предоставлено более одного значения ее рыночной цены, то используется среднее арифметическое значение;</w:t>
      </w:r>
    </w:p>
    <w:p w14:paraId="635E0708" w14:textId="77777777" w:rsidR="00176357" w:rsidRPr="00176357" w:rsidRDefault="00176357" w:rsidP="00176357">
      <w:pPr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176357">
        <w:rPr>
          <w:rFonts w:ascii="Arial" w:eastAsia="Times New Roman" w:hAnsi="Arial" w:cs="Arial"/>
          <w:sz w:val="18"/>
          <w:szCs w:val="18"/>
          <w:lang w:eastAsia="ru-RU"/>
        </w:rPr>
        <w:t>при оценке федеральных, субфедеральных и муниципальных облигационных займов, а также еврооблигаций и корпоративных облигаций для целей настоящего документа рыночной ценой считается величина номинальной стоимости соответствующей облигации;</w:t>
      </w:r>
    </w:p>
    <w:p w14:paraId="2940B1E6" w14:textId="77777777" w:rsidR="00176357" w:rsidRPr="00176357" w:rsidRDefault="00176357" w:rsidP="00176357">
      <w:pPr>
        <w:spacing w:after="0" w:line="240" w:lineRule="auto"/>
        <w:ind w:left="-426"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76357">
        <w:rPr>
          <w:rFonts w:ascii="Arial" w:eastAsia="Times New Roman" w:hAnsi="Arial" w:cs="Arial"/>
          <w:sz w:val="18"/>
          <w:szCs w:val="18"/>
          <w:lang w:eastAsia="ru-RU"/>
        </w:rPr>
        <w:t>при оценке облигаций, для которых решением о выпуске эмиссионных ценных бумаг (проспектом ценных бумаг) предусмотрено погашение части номинальной стоимости, для целей настоящего документа рыночной ценой считается величина непогашенной части номинальной стоимости соответствующей облигации;</w:t>
      </w:r>
    </w:p>
    <w:p w14:paraId="31F57EED" w14:textId="77777777" w:rsidR="00176357" w:rsidRPr="00176357" w:rsidRDefault="00176357" w:rsidP="00176357">
      <w:pPr>
        <w:spacing w:after="0" w:line="240" w:lineRule="auto"/>
        <w:ind w:left="-426"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76357">
        <w:rPr>
          <w:rFonts w:ascii="Arial" w:eastAsia="Times New Roman" w:hAnsi="Arial" w:cs="Arial"/>
          <w:sz w:val="18"/>
          <w:szCs w:val="18"/>
          <w:lang w:eastAsia="ru-RU"/>
        </w:rPr>
        <w:t>определяемый в соответствии с настоящим документом показатель «рыночная стоимость ценных бумаг»</w:t>
      </w:r>
      <w:r w:rsidR="00DC5886">
        <w:rPr>
          <w:rFonts w:ascii="Arial" w:eastAsia="Times New Roman" w:hAnsi="Arial" w:cs="Arial"/>
          <w:sz w:val="18"/>
          <w:szCs w:val="18"/>
          <w:lang w:eastAsia="ru-RU"/>
        </w:rPr>
        <w:t xml:space="preserve"> по п. 22.1.- 22</w:t>
      </w:r>
      <w:r w:rsidRPr="00176357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DC5886">
        <w:rPr>
          <w:rFonts w:ascii="Arial" w:eastAsia="Times New Roman" w:hAnsi="Arial" w:cs="Arial"/>
          <w:sz w:val="18"/>
          <w:szCs w:val="18"/>
          <w:lang w:eastAsia="ru-RU"/>
        </w:rPr>
        <w:t>3</w:t>
      </w:r>
      <w:r w:rsidRPr="00176357">
        <w:rPr>
          <w:rFonts w:ascii="Arial" w:eastAsia="Times New Roman" w:hAnsi="Arial" w:cs="Arial"/>
          <w:sz w:val="18"/>
          <w:szCs w:val="18"/>
          <w:lang w:eastAsia="ru-RU"/>
        </w:rPr>
        <w:t>. выражается в российских рублях. При использовании в расчетах рыночных цен, выраженных в иностранной валюте, рыночная стоимость соответствующих ценных бумаг в иностранной валюте пересчитывается в российские рубли по курсу, установленному Центральным банком Российской Федерации на дату расчетов. Если Центральный банк Российской Федерации не устанавливает курс по валюте, в которой рассчитана рыночная стоимость соответствующей ценной бумаги, то используется средняя цена из информации, предоставленной Информационным агентом для расчета курса такой валюты в российских рублях в соответствии с рекомендациями Центрального банка Российской Федерации.</w:t>
      </w:r>
    </w:p>
    <w:p w14:paraId="321310AE" w14:textId="77777777" w:rsidR="008C71BE" w:rsidRPr="00176357" w:rsidRDefault="008C71BE" w:rsidP="00176357">
      <w:pPr>
        <w:spacing w:after="0" w:line="240" w:lineRule="auto"/>
        <w:ind w:left="-426" w:firstLine="426"/>
        <w:jc w:val="both"/>
        <w:rPr>
          <w:rFonts w:ascii="Arial" w:eastAsia="Times New Roman" w:hAnsi="Arial" w:cs="Arial"/>
          <w:color w:val="172B4D"/>
          <w:sz w:val="18"/>
          <w:szCs w:val="18"/>
          <w:lang w:eastAsia="ru-RU"/>
        </w:rPr>
      </w:pPr>
    </w:p>
    <w:p w14:paraId="2073C119" w14:textId="77777777" w:rsidR="005257E9" w:rsidRPr="005257E9" w:rsidRDefault="005257E9" w:rsidP="005257E9">
      <w:pPr>
        <w:pStyle w:val="a7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257E9">
        <w:rPr>
          <w:rFonts w:ascii="Arial" w:hAnsi="Arial" w:cs="Arial"/>
          <w:sz w:val="18"/>
          <w:szCs w:val="18"/>
        </w:rPr>
        <w:t xml:space="preserve">Депозитарий вправе после рассмотрения поручения Депонента </w:t>
      </w:r>
      <w:r w:rsidR="008C71BE">
        <w:rPr>
          <w:rFonts w:ascii="Arial" w:hAnsi="Arial" w:cs="Arial"/>
          <w:sz w:val="18"/>
          <w:szCs w:val="18"/>
        </w:rPr>
        <w:t>на списание ценных бумаг</w:t>
      </w:r>
      <w:r w:rsidRPr="005257E9">
        <w:rPr>
          <w:rFonts w:ascii="Arial" w:hAnsi="Arial" w:cs="Arial"/>
          <w:sz w:val="18"/>
          <w:szCs w:val="18"/>
        </w:rPr>
        <w:t>, затребовать у Депонента следующие документы:</w:t>
      </w:r>
    </w:p>
    <w:p w14:paraId="13C3A66A" w14:textId="77777777" w:rsidR="005257E9" w:rsidRPr="002C71FA" w:rsidRDefault="005257E9" w:rsidP="005257E9">
      <w:pPr>
        <w:pStyle w:val="a7"/>
        <w:numPr>
          <w:ilvl w:val="0"/>
          <w:numId w:val="4"/>
        </w:numPr>
        <w:spacing w:after="0"/>
        <w:ind w:left="1418" w:hanging="284"/>
        <w:contextualSpacing w:val="0"/>
        <w:jc w:val="left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>поручение на проведение операции в бумажном виде, если поручение было подано депонентом иным способом;</w:t>
      </w:r>
    </w:p>
    <w:p w14:paraId="53D3EB2D" w14:textId="77777777" w:rsidR="005257E9" w:rsidRPr="002C71FA" w:rsidRDefault="005257E9" w:rsidP="005257E9">
      <w:pPr>
        <w:pStyle w:val="a7"/>
        <w:numPr>
          <w:ilvl w:val="0"/>
          <w:numId w:val="4"/>
        </w:numPr>
        <w:spacing w:after="0"/>
        <w:ind w:left="1418" w:hanging="284"/>
        <w:contextualSpacing w:val="0"/>
        <w:jc w:val="left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>любые документы на усмотрение Депозитария, касающиеся проводимой операции, финансового положения, деятельности депонента и его контрагента.</w:t>
      </w:r>
    </w:p>
    <w:p w14:paraId="03F1FFCF" w14:textId="77777777" w:rsidR="008C71BE" w:rsidRDefault="005257E9" w:rsidP="008C71BE">
      <w:pPr>
        <w:spacing w:line="240" w:lineRule="auto"/>
        <w:ind w:left="-426" w:firstLine="426"/>
        <w:jc w:val="both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 xml:space="preserve">Срок исполнения Депозитарием поручения Депонента на проведение операций </w:t>
      </w:r>
      <w:r w:rsidR="008C71BE">
        <w:rPr>
          <w:rFonts w:ascii="Arial" w:hAnsi="Arial" w:cs="Arial"/>
          <w:sz w:val="18"/>
          <w:szCs w:val="18"/>
        </w:rPr>
        <w:t>списания ценных бумаг</w:t>
      </w:r>
      <w:r w:rsidRPr="002C71FA">
        <w:rPr>
          <w:rFonts w:ascii="Arial" w:hAnsi="Arial" w:cs="Arial"/>
          <w:sz w:val="18"/>
          <w:szCs w:val="18"/>
        </w:rPr>
        <w:t xml:space="preserve"> увеличивается на время рассмотрения представленных Депонентом документов, при этом Депозитарий имеет право запрашивать любые дополнительные документы, касающиеся проводимой операции, финансового положения, деятельности депонента и его контрагента  любое количество раз.</w:t>
      </w:r>
      <w:r w:rsidR="008C71BE">
        <w:rPr>
          <w:rFonts w:ascii="Arial" w:hAnsi="Arial" w:cs="Arial"/>
          <w:sz w:val="18"/>
          <w:szCs w:val="18"/>
        </w:rPr>
        <w:t xml:space="preserve"> </w:t>
      </w:r>
    </w:p>
    <w:p w14:paraId="75EF4F3C" w14:textId="77777777" w:rsidR="002C367D" w:rsidRDefault="005257E9" w:rsidP="008C71BE">
      <w:pPr>
        <w:spacing w:line="240" w:lineRule="auto"/>
        <w:ind w:left="-426" w:firstLine="426"/>
        <w:jc w:val="both"/>
        <w:rPr>
          <w:rFonts w:ascii="Arial" w:hAnsi="Arial" w:cs="Arial"/>
          <w:sz w:val="18"/>
          <w:szCs w:val="18"/>
        </w:rPr>
      </w:pPr>
      <w:r w:rsidRPr="002C71FA">
        <w:rPr>
          <w:rFonts w:ascii="Arial" w:hAnsi="Arial" w:cs="Arial"/>
          <w:sz w:val="18"/>
          <w:szCs w:val="18"/>
        </w:rPr>
        <w:t>Депонент дополнительно к стоимости услуг оплачивает комиссии и сборы третьих лиц, связанные с исполнением поручения Депонента.</w:t>
      </w:r>
      <w:r w:rsidR="008C71BE">
        <w:rPr>
          <w:rFonts w:ascii="Arial" w:hAnsi="Arial" w:cs="Arial"/>
          <w:sz w:val="18"/>
          <w:szCs w:val="18"/>
        </w:rPr>
        <w:t xml:space="preserve"> </w:t>
      </w:r>
    </w:p>
    <w:p w14:paraId="78BFA2FC" w14:textId="49C9303A" w:rsidR="00156408" w:rsidRDefault="00C47897" w:rsidP="008C71BE">
      <w:pPr>
        <w:spacing w:line="240" w:lineRule="auto"/>
        <w:ind w:left="-426" w:firstLine="426"/>
        <w:jc w:val="both"/>
        <w:rPr>
          <w:rFonts w:ascii="Arial" w:hAnsi="Arial" w:cs="Arial"/>
          <w:sz w:val="18"/>
          <w:szCs w:val="18"/>
        </w:rPr>
      </w:pPr>
      <w:r w:rsidRPr="00EE7E19">
        <w:rPr>
          <w:rFonts w:ascii="Arial" w:hAnsi="Arial" w:cs="Arial"/>
          <w:sz w:val="18"/>
          <w:szCs w:val="18"/>
        </w:rPr>
        <w:t xml:space="preserve">Оплата услуг Депозитария </w:t>
      </w:r>
      <w:r w:rsidR="00156408" w:rsidRPr="00EE7E19">
        <w:rPr>
          <w:rFonts w:ascii="Arial" w:hAnsi="Arial" w:cs="Arial"/>
          <w:sz w:val="18"/>
          <w:szCs w:val="18"/>
        </w:rPr>
        <w:t xml:space="preserve">по Субсчетам депо </w:t>
      </w:r>
      <w:r w:rsidRPr="00EE7E19">
        <w:rPr>
          <w:rFonts w:ascii="Arial" w:hAnsi="Arial" w:cs="Arial"/>
          <w:sz w:val="18"/>
          <w:szCs w:val="18"/>
        </w:rPr>
        <w:t xml:space="preserve">Клиента Депозитария осуществляется </w:t>
      </w:r>
      <w:r w:rsidR="00156408" w:rsidRPr="00EE7E19">
        <w:rPr>
          <w:rFonts w:ascii="Arial" w:hAnsi="Arial" w:cs="Arial"/>
          <w:sz w:val="18"/>
          <w:szCs w:val="18"/>
        </w:rPr>
        <w:t>Клиринговой организацией.</w:t>
      </w:r>
    </w:p>
    <w:p w14:paraId="6ADC96DA" w14:textId="77777777" w:rsidR="008C71BE" w:rsidRDefault="008C71BE" w:rsidP="00E2040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2B942C65" w14:textId="77777777" w:rsidR="008C71BE" w:rsidRDefault="008C71BE" w:rsidP="00E2040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8C71BE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Тарифы </w:t>
      </w:r>
      <w:r w:rsidR="0051670B" w:rsidRPr="0051670B">
        <w:rPr>
          <w:rFonts w:ascii="Arial" w:eastAsia="Times New Roman" w:hAnsi="Arial" w:cs="Arial"/>
          <w:b/>
          <w:sz w:val="18"/>
          <w:szCs w:val="18"/>
          <w:lang w:eastAsia="ru-RU"/>
        </w:rPr>
        <w:t>ООО ИК «САВ Капитал»</w:t>
      </w:r>
      <w:r w:rsidRPr="008C71BE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за оказание услуг по учету НФИ</w:t>
      </w:r>
    </w:p>
    <w:p w14:paraId="6E77FAA0" w14:textId="77777777" w:rsidR="00E2040B" w:rsidRPr="00E2040B" w:rsidRDefault="00E2040B" w:rsidP="00E2040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5563"/>
        <w:gridCol w:w="3652"/>
      </w:tblGrid>
      <w:tr w:rsidR="008C71BE" w:rsidRPr="008C71BE" w14:paraId="4D25DBAD" w14:textId="77777777" w:rsidTr="008C71BE">
        <w:tc>
          <w:tcPr>
            <w:tcW w:w="5563" w:type="dxa"/>
            <w:vAlign w:val="center"/>
          </w:tcPr>
          <w:p w14:paraId="0BD6C776" w14:textId="77777777" w:rsidR="008C71BE" w:rsidRPr="008C71BE" w:rsidRDefault="008C71BE" w:rsidP="008C71B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8C71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 услуг</w:t>
            </w:r>
          </w:p>
        </w:tc>
        <w:tc>
          <w:tcPr>
            <w:tcW w:w="3652" w:type="dxa"/>
            <w:vAlign w:val="center"/>
          </w:tcPr>
          <w:p w14:paraId="49AEACBE" w14:textId="77777777" w:rsidR="008C71BE" w:rsidRPr="008C71BE" w:rsidRDefault="008C71BE" w:rsidP="008C71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71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Стоимость услуги (руб</w:t>
            </w:r>
            <w:r w:rsidRPr="008C71B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.</w:t>
            </w:r>
            <w:r w:rsidRPr="008C71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C71BE" w:rsidRPr="008C71BE" w14:paraId="71A78096" w14:textId="77777777" w:rsidTr="008C71BE">
        <w:tc>
          <w:tcPr>
            <w:tcW w:w="5563" w:type="dxa"/>
          </w:tcPr>
          <w:p w14:paraId="40694FD8" w14:textId="77777777" w:rsidR="008C71BE" w:rsidRPr="008C71BE" w:rsidRDefault="008C71BE" w:rsidP="008C71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8C71BE">
              <w:rPr>
                <w:rFonts w:ascii="Arial" w:eastAsia="Times New Roman" w:hAnsi="Arial" w:cs="Arial"/>
                <w:sz w:val="18"/>
                <w:szCs w:val="18"/>
              </w:rPr>
              <w:t>Открытие Счета для учета НФИ</w:t>
            </w:r>
          </w:p>
        </w:tc>
        <w:tc>
          <w:tcPr>
            <w:tcW w:w="3652" w:type="dxa"/>
          </w:tcPr>
          <w:p w14:paraId="2328DCB3" w14:textId="77777777" w:rsidR="008C71BE" w:rsidRPr="008C71BE" w:rsidRDefault="008C71BE" w:rsidP="008C71B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C71BE">
              <w:rPr>
                <w:rFonts w:ascii="Arial" w:eastAsia="Times New Roman" w:hAnsi="Arial" w:cs="Arial"/>
                <w:sz w:val="18"/>
                <w:szCs w:val="18"/>
              </w:rPr>
              <w:t>Без взимания комиссии</w:t>
            </w:r>
          </w:p>
        </w:tc>
      </w:tr>
      <w:tr w:rsidR="008C71BE" w:rsidRPr="008C71BE" w14:paraId="384AE5FB" w14:textId="77777777" w:rsidTr="008C71BE">
        <w:tc>
          <w:tcPr>
            <w:tcW w:w="5563" w:type="dxa"/>
          </w:tcPr>
          <w:p w14:paraId="41FCF839" w14:textId="77777777" w:rsidR="008C71BE" w:rsidRPr="008C71BE" w:rsidRDefault="008C71BE" w:rsidP="008C71B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C71BE">
              <w:rPr>
                <w:rFonts w:ascii="Arial" w:eastAsia="Times New Roman" w:hAnsi="Arial" w:cs="Arial"/>
                <w:sz w:val="18"/>
                <w:szCs w:val="18"/>
              </w:rPr>
              <w:t>Ведение Счета  при наличии остатков</w:t>
            </w:r>
            <w:r w:rsidRPr="008C71BE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3652" w:type="dxa"/>
          </w:tcPr>
          <w:p w14:paraId="20CB74C1" w14:textId="77777777" w:rsidR="008C71BE" w:rsidRPr="008C71BE" w:rsidRDefault="008C71BE" w:rsidP="008C71B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C71BE">
              <w:rPr>
                <w:rFonts w:ascii="Arial" w:eastAsia="Times New Roman" w:hAnsi="Arial" w:cs="Arial"/>
                <w:sz w:val="18"/>
                <w:szCs w:val="18"/>
              </w:rPr>
              <w:t>Без взимания комиссии</w:t>
            </w:r>
          </w:p>
        </w:tc>
      </w:tr>
      <w:tr w:rsidR="008C71BE" w:rsidRPr="008C71BE" w14:paraId="0BB9D29F" w14:textId="77777777" w:rsidTr="008C71BE">
        <w:tc>
          <w:tcPr>
            <w:tcW w:w="5563" w:type="dxa"/>
          </w:tcPr>
          <w:p w14:paraId="2C65AE2B" w14:textId="77777777" w:rsidR="008C71BE" w:rsidRPr="008C71BE" w:rsidRDefault="008C71BE" w:rsidP="008C71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8C71BE">
              <w:rPr>
                <w:rFonts w:ascii="Arial" w:eastAsia="Times New Roman" w:hAnsi="Arial" w:cs="Arial"/>
                <w:sz w:val="18"/>
                <w:szCs w:val="18"/>
              </w:rPr>
              <w:t>Выписка по Счету Депонента (по итогам операции)</w:t>
            </w:r>
          </w:p>
        </w:tc>
        <w:tc>
          <w:tcPr>
            <w:tcW w:w="3652" w:type="dxa"/>
          </w:tcPr>
          <w:p w14:paraId="53D7753F" w14:textId="77777777" w:rsidR="008C71BE" w:rsidRPr="008C71BE" w:rsidRDefault="008C71BE" w:rsidP="008C71B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C71BE">
              <w:rPr>
                <w:rFonts w:ascii="Arial" w:eastAsia="Times New Roman" w:hAnsi="Arial" w:cs="Arial"/>
                <w:sz w:val="18"/>
                <w:szCs w:val="18"/>
              </w:rPr>
              <w:t>Без взимания комиссии</w:t>
            </w:r>
          </w:p>
        </w:tc>
      </w:tr>
      <w:tr w:rsidR="008C71BE" w:rsidRPr="008C71BE" w14:paraId="1A0BBD72" w14:textId="77777777" w:rsidTr="008C71BE">
        <w:tc>
          <w:tcPr>
            <w:tcW w:w="5563" w:type="dxa"/>
          </w:tcPr>
          <w:p w14:paraId="72D1E457" w14:textId="77777777" w:rsidR="008C71BE" w:rsidRPr="008C71BE" w:rsidRDefault="008C71BE" w:rsidP="008C71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8C71BE">
              <w:rPr>
                <w:rFonts w:ascii="Arial" w:eastAsia="Times New Roman" w:hAnsi="Arial" w:cs="Arial"/>
                <w:sz w:val="18"/>
                <w:szCs w:val="18"/>
              </w:rPr>
              <w:t>Отчет о совершенной операции</w:t>
            </w:r>
          </w:p>
          <w:p w14:paraId="7931E1DA" w14:textId="77777777" w:rsidR="008C71BE" w:rsidRPr="008C71BE" w:rsidRDefault="008C71BE" w:rsidP="008C71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8C71BE">
              <w:rPr>
                <w:rFonts w:ascii="Arial" w:eastAsia="Times New Roman" w:hAnsi="Arial" w:cs="Arial"/>
                <w:sz w:val="18"/>
                <w:szCs w:val="18"/>
              </w:rPr>
              <w:t>(по итогам операции)</w:t>
            </w:r>
          </w:p>
        </w:tc>
        <w:tc>
          <w:tcPr>
            <w:tcW w:w="3652" w:type="dxa"/>
          </w:tcPr>
          <w:p w14:paraId="09B258F7" w14:textId="77777777" w:rsidR="008C71BE" w:rsidRPr="008C71BE" w:rsidRDefault="008C71BE" w:rsidP="008C71B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C71BE">
              <w:rPr>
                <w:rFonts w:ascii="Arial" w:eastAsia="Times New Roman" w:hAnsi="Arial" w:cs="Arial"/>
                <w:sz w:val="18"/>
                <w:szCs w:val="18"/>
              </w:rPr>
              <w:t>Без взимания комиссии</w:t>
            </w:r>
          </w:p>
        </w:tc>
      </w:tr>
      <w:tr w:rsidR="008C71BE" w:rsidRPr="008C71BE" w14:paraId="509B9629" w14:textId="77777777" w:rsidTr="008C71BE">
        <w:tc>
          <w:tcPr>
            <w:tcW w:w="5563" w:type="dxa"/>
          </w:tcPr>
          <w:p w14:paraId="4F6F7D5A" w14:textId="77777777" w:rsidR="008C71BE" w:rsidRPr="008C71BE" w:rsidRDefault="008C71BE" w:rsidP="008C71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8C71BE">
              <w:rPr>
                <w:rFonts w:ascii="Arial" w:eastAsia="Times New Roman" w:hAnsi="Arial" w:cs="Arial"/>
                <w:sz w:val="18"/>
                <w:szCs w:val="18"/>
              </w:rPr>
              <w:t xml:space="preserve">Предоставление информации (в т.ч. выписка/отчет о совершенной операции)  по запросу Депонента </w:t>
            </w:r>
          </w:p>
        </w:tc>
        <w:tc>
          <w:tcPr>
            <w:tcW w:w="3652" w:type="dxa"/>
          </w:tcPr>
          <w:p w14:paraId="0328D5B8" w14:textId="77777777" w:rsidR="008C71BE" w:rsidRPr="008C71BE" w:rsidRDefault="008C71BE" w:rsidP="008C71B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C71BE">
              <w:rPr>
                <w:rFonts w:ascii="Arial" w:eastAsia="Times New Roman" w:hAnsi="Arial" w:cs="Arial"/>
                <w:sz w:val="18"/>
                <w:szCs w:val="18"/>
              </w:rPr>
              <w:t>Без взимания комиссии</w:t>
            </w:r>
          </w:p>
        </w:tc>
      </w:tr>
      <w:tr w:rsidR="008C71BE" w:rsidRPr="008C71BE" w14:paraId="54B44A24" w14:textId="77777777" w:rsidTr="008C71BE">
        <w:tc>
          <w:tcPr>
            <w:tcW w:w="5563" w:type="dxa"/>
          </w:tcPr>
          <w:p w14:paraId="7BDC8413" w14:textId="77777777" w:rsidR="008C71BE" w:rsidRPr="008C71BE" w:rsidRDefault="008C71BE" w:rsidP="008C71BE">
            <w:pPr>
              <w:keepNext/>
              <w:spacing w:before="12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8C71BE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 xml:space="preserve">Инвентарные операции с НФИ </w:t>
            </w:r>
            <w:bookmarkStart w:id="0" w:name="_GoBack"/>
            <w:bookmarkEnd w:id="0"/>
          </w:p>
        </w:tc>
        <w:tc>
          <w:tcPr>
            <w:tcW w:w="3652" w:type="dxa"/>
          </w:tcPr>
          <w:p w14:paraId="55C3D44C" w14:textId="77777777" w:rsidR="008C71BE" w:rsidRPr="008C71BE" w:rsidRDefault="008C71BE" w:rsidP="008C71BE">
            <w:pPr>
              <w:keepNext/>
              <w:spacing w:before="12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71BE" w:rsidRPr="008C71BE" w14:paraId="2531B25E" w14:textId="77777777" w:rsidTr="008C71BE">
        <w:tc>
          <w:tcPr>
            <w:tcW w:w="5563" w:type="dxa"/>
          </w:tcPr>
          <w:p w14:paraId="238D1B73" w14:textId="77777777" w:rsidR="008C71BE" w:rsidRPr="008C71BE" w:rsidRDefault="008C71BE" w:rsidP="008C71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8C71BE">
              <w:rPr>
                <w:rFonts w:ascii="Arial" w:eastAsia="Times New Roman" w:hAnsi="Arial" w:cs="Arial"/>
                <w:sz w:val="18"/>
                <w:szCs w:val="18"/>
              </w:rPr>
              <w:t xml:space="preserve">Принятие  НФИ, не связанное с проведением корпоративных действий. </w:t>
            </w:r>
          </w:p>
        </w:tc>
        <w:tc>
          <w:tcPr>
            <w:tcW w:w="3652" w:type="dxa"/>
          </w:tcPr>
          <w:p w14:paraId="7762D27B" w14:textId="77777777" w:rsidR="008C71BE" w:rsidRPr="008C71BE" w:rsidRDefault="008C71BE" w:rsidP="008C71B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C71BE">
              <w:rPr>
                <w:rFonts w:ascii="Arial" w:eastAsia="Times New Roman" w:hAnsi="Arial" w:cs="Arial"/>
                <w:sz w:val="18"/>
                <w:szCs w:val="18"/>
              </w:rPr>
              <w:t>1000 за операцию  не включая НДС*</w:t>
            </w:r>
          </w:p>
        </w:tc>
      </w:tr>
      <w:tr w:rsidR="008C71BE" w:rsidRPr="008C71BE" w14:paraId="50C0EE8B" w14:textId="77777777" w:rsidTr="008C71BE">
        <w:tc>
          <w:tcPr>
            <w:tcW w:w="5563" w:type="dxa"/>
          </w:tcPr>
          <w:p w14:paraId="7E949962" w14:textId="77777777" w:rsidR="008C71BE" w:rsidRPr="008C71BE" w:rsidRDefault="008C71BE" w:rsidP="008C71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8C71BE">
              <w:rPr>
                <w:rFonts w:ascii="Arial" w:eastAsia="Times New Roman" w:hAnsi="Arial" w:cs="Arial"/>
                <w:sz w:val="18"/>
                <w:szCs w:val="18"/>
              </w:rPr>
              <w:t xml:space="preserve">Инвентарная операция с НФИ, в том числе </w:t>
            </w:r>
            <w:r w:rsidRPr="008C71BE">
              <w:rPr>
                <w:rFonts w:ascii="Arial" w:eastAsia="MS Mincho" w:hAnsi="Arial" w:cs="Arial"/>
                <w:sz w:val="18"/>
                <w:szCs w:val="18"/>
              </w:rPr>
              <w:t>в целях их перевода  на счета Депонента и/или иных лиц, открытые в Депозитарии или в иных организациях, осуществляющих учет прав на такие НФИ</w:t>
            </w:r>
          </w:p>
        </w:tc>
        <w:tc>
          <w:tcPr>
            <w:tcW w:w="3652" w:type="dxa"/>
          </w:tcPr>
          <w:p w14:paraId="25CD519E" w14:textId="77777777" w:rsidR="008C71BE" w:rsidRPr="008C71BE" w:rsidRDefault="008C71BE" w:rsidP="008C71B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C71BE">
              <w:rPr>
                <w:rFonts w:ascii="Arial" w:eastAsia="Times New Roman" w:hAnsi="Arial" w:cs="Arial"/>
                <w:sz w:val="18"/>
                <w:szCs w:val="18"/>
              </w:rPr>
              <w:t>1000 за операцию, не включая НДС*</w:t>
            </w:r>
          </w:p>
        </w:tc>
      </w:tr>
      <w:tr w:rsidR="008C71BE" w:rsidRPr="008C71BE" w14:paraId="5860D961" w14:textId="77777777" w:rsidTr="008C71BE">
        <w:tc>
          <w:tcPr>
            <w:tcW w:w="5563" w:type="dxa"/>
          </w:tcPr>
          <w:p w14:paraId="148C23AA" w14:textId="77777777" w:rsidR="008C71BE" w:rsidRPr="008C71BE" w:rsidRDefault="008C71BE" w:rsidP="008C71B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8C71BE">
              <w:rPr>
                <w:rFonts w:ascii="Arial" w:eastAsia="Times New Roman" w:hAnsi="Arial" w:cs="Arial"/>
                <w:sz w:val="18"/>
                <w:szCs w:val="18"/>
              </w:rPr>
              <w:t>Снятие с учета НФИ в целях их перевода на счет депо номинального держателя депонента, если НФИ стала квалифицироваться как ценная бумага</w:t>
            </w:r>
          </w:p>
        </w:tc>
        <w:tc>
          <w:tcPr>
            <w:tcW w:w="3652" w:type="dxa"/>
          </w:tcPr>
          <w:p w14:paraId="5F40EA14" w14:textId="77777777" w:rsidR="008C71BE" w:rsidRPr="008C71BE" w:rsidRDefault="008C71BE" w:rsidP="008C71B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C71BE">
              <w:rPr>
                <w:rFonts w:ascii="Arial" w:eastAsia="Times New Roman" w:hAnsi="Arial" w:cs="Arial"/>
                <w:sz w:val="18"/>
                <w:szCs w:val="18"/>
              </w:rPr>
              <w:t>Без взимания комиссии</w:t>
            </w:r>
          </w:p>
        </w:tc>
      </w:tr>
    </w:tbl>
    <w:p w14:paraId="16804F75" w14:textId="77777777" w:rsidR="008C71BE" w:rsidRDefault="008C71BE" w:rsidP="008C71B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3750096" w14:textId="77777777" w:rsidR="0069593C" w:rsidRPr="00E2040B" w:rsidRDefault="008C71BE" w:rsidP="00E2040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C71BE">
        <w:rPr>
          <w:rFonts w:ascii="Arial" w:eastAsia="Times New Roman" w:hAnsi="Arial" w:cs="Arial"/>
          <w:sz w:val="18"/>
          <w:szCs w:val="18"/>
          <w:lang w:eastAsia="ru-RU"/>
        </w:rPr>
        <w:t>* Услуга облагается НДС. НДС оплачивается сверх стоимости услуги в размере, установленном НК РФ</w:t>
      </w:r>
    </w:p>
    <w:sectPr w:rsidR="0069593C" w:rsidRPr="00E2040B" w:rsidSect="00B63634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77830" w14:textId="77777777" w:rsidR="001E6169" w:rsidRDefault="001E6169" w:rsidP="00483B51">
      <w:pPr>
        <w:spacing w:after="0" w:line="240" w:lineRule="auto"/>
      </w:pPr>
      <w:r>
        <w:separator/>
      </w:r>
    </w:p>
  </w:endnote>
  <w:endnote w:type="continuationSeparator" w:id="0">
    <w:p w14:paraId="07D6A211" w14:textId="77777777" w:rsidR="001E6169" w:rsidRDefault="001E6169" w:rsidP="0048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8651334"/>
      <w:docPartObj>
        <w:docPartGallery w:val="Page Numbers (Bottom of Page)"/>
        <w:docPartUnique/>
      </w:docPartObj>
    </w:sdtPr>
    <w:sdtEndPr/>
    <w:sdtContent>
      <w:p w14:paraId="6B243CA8" w14:textId="77777777" w:rsidR="00DC5886" w:rsidRDefault="00DC588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E19">
          <w:rPr>
            <w:noProof/>
          </w:rPr>
          <w:t>5</w:t>
        </w:r>
        <w:r>
          <w:fldChar w:fldCharType="end"/>
        </w:r>
      </w:p>
    </w:sdtContent>
  </w:sdt>
  <w:p w14:paraId="6837EB12" w14:textId="77777777" w:rsidR="00DC5886" w:rsidRDefault="00DC588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B9BC8" w14:textId="77777777" w:rsidR="001E6169" w:rsidRDefault="001E6169" w:rsidP="00483B51">
      <w:pPr>
        <w:spacing w:after="0" w:line="240" w:lineRule="auto"/>
      </w:pPr>
      <w:r>
        <w:separator/>
      </w:r>
    </w:p>
  </w:footnote>
  <w:footnote w:type="continuationSeparator" w:id="0">
    <w:p w14:paraId="1DB45746" w14:textId="77777777" w:rsidR="001E6169" w:rsidRDefault="001E6169" w:rsidP="00483B51">
      <w:pPr>
        <w:spacing w:after="0" w:line="240" w:lineRule="auto"/>
      </w:pPr>
      <w:r>
        <w:continuationSeparator/>
      </w:r>
    </w:p>
  </w:footnote>
  <w:footnote w:id="1">
    <w:p w14:paraId="43A5973B" w14:textId="77777777" w:rsidR="006511C3" w:rsidRPr="000E0AA8" w:rsidRDefault="006511C3" w:rsidP="00594D90">
      <w:pPr>
        <w:pStyle w:val="a4"/>
        <w:jc w:val="both"/>
        <w:rPr>
          <w:rFonts w:cstheme="minorHAnsi"/>
          <w:sz w:val="16"/>
          <w:szCs w:val="16"/>
        </w:rPr>
      </w:pPr>
      <w:r w:rsidRPr="000E0AA8">
        <w:rPr>
          <w:rStyle w:val="a6"/>
          <w:rFonts w:cstheme="minorHAnsi"/>
          <w:sz w:val="16"/>
          <w:szCs w:val="16"/>
        </w:rPr>
        <w:footnoteRef/>
      </w:r>
      <w:r w:rsidRPr="000E0AA8">
        <w:rPr>
          <w:rFonts w:cstheme="minorHAnsi"/>
          <w:sz w:val="16"/>
          <w:szCs w:val="16"/>
        </w:rPr>
        <w:t xml:space="preserve"> Не применяется при переводе иностранных ценных бумаг в рамках разблокировки активов. </w:t>
      </w:r>
    </w:p>
    <w:p w14:paraId="42A78C59" w14:textId="77777777" w:rsidR="006511C3" w:rsidRPr="000E0AA8" w:rsidRDefault="006511C3" w:rsidP="00594D90">
      <w:pPr>
        <w:pStyle w:val="a4"/>
        <w:jc w:val="both"/>
        <w:rPr>
          <w:rFonts w:cstheme="minorHAnsi"/>
          <w:sz w:val="16"/>
          <w:szCs w:val="16"/>
        </w:rPr>
      </w:pPr>
    </w:p>
  </w:footnote>
  <w:footnote w:id="2">
    <w:p w14:paraId="30C00AF9" w14:textId="77777777" w:rsidR="00DC5886" w:rsidRDefault="00DC5886" w:rsidP="008B5263">
      <w:pPr>
        <w:pStyle w:val="a4"/>
        <w:jc w:val="both"/>
      </w:pPr>
      <w:r w:rsidRPr="00C9055C">
        <w:rPr>
          <w:rStyle w:val="a6"/>
        </w:rPr>
        <w:footnoteRef/>
      </w:r>
      <w:r w:rsidRPr="000E0AA8">
        <w:rPr>
          <w:rFonts w:cstheme="minorHAnsi"/>
          <w:sz w:val="16"/>
          <w:szCs w:val="16"/>
        </w:rPr>
        <w:t xml:space="preserve"> Возмещение фактических расходов, понесенных Депозитарием при исполнении Поручения Депонента, производится на основании счетов, выставляемых Депозитарием по факту оплаты Депозитарием соответствующих издержек. </w:t>
      </w:r>
    </w:p>
  </w:footnote>
  <w:footnote w:id="3">
    <w:p w14:paraId="5271C7BA" w14:textId="77777777" w:rsidR="00E2040B" w:rsidRPr="000E0AA8" w:rsidRDefault="00E2040B" w:rsidP="000E0AA8">
      <w:pPr>
        <w:pStyle w:val="a4"/>
        <w:jc w:val="both"/>
        <w:rPr>
          <w:rFonts w:cstheme="minorHAnsi"/>
          <w:sz w:val="14"/>
          <w:szCs w:val="14"/>
        </w:rPr>
      </w:pPr>
      <w:r w:rsidRPr="000E0AA8">
        <w:rPr>
          <w:rStyle w:val="a6"/>
          <w:rFonts w:cstheme="minorHAnsi"/>
          <w:sz w:val="14"/>
          <w:szCs w:val="14"/>
        </w:rPr>
        <w:footnoteRef/>
      </w:r>
      <w:r w:rsidRPr="000E0AA8">
        <w:rPr>
          <w:rFonts w:cstheme="minorHAnsi"/>
          <w:sz w:val="14"/>
          <w:szCs w:val="14"/>
        </w:rPr>
        <w:t xml:space="preserve"> Стоимость остатка ценных бумаг рассчитывается как сумма средневзвешенных стоимостей остатков всех выпусков ценных бумаг данной группы, учитываемых на счете депо Депонента в расчетном месяце, по календарным дням месяца. Стоимость остатка по каждому выпуску ценных бумаг за календарный день определяется как произведение остатка в штуках на конец дня на рыночную цену ценных бумаг этого выпуска. Для выходных и праздничных дней значения остатка в штуках и рыночной цены выпуска принимаются равными значениям за предшествующий рабочий день. Ставка ежемесячной платы за услуги по хранению ценных бумаг и/или учету прав на ценные бумаги, не имеющие рыночной цены – для акций, инвестиционных паев и де</w:t>
      </w:r>
      <w:r>
        <w:rPr>
          <w:rFonts w:cstheme="minorHAnsi"/>
          <w:sz w:val="14"/>
          <w:szCs w:val="14"/>
        </w:rPr>
        <w:t>позитарных расписок составляет 5</w:t>
      </w:r>
      <w:r w:rsidRPr="000E0AA8">
        <w:rPr>
          <w:rFonts w:cstheme="minorHAnsi"/>
          <w:sz w:val="14"/>
          <w:szCs w:val="14"/>
        </w:rPr>
        <w:t>00 (</w:t>
      </w:r>
      <w:r>
        <w:rPr>
          <w:rFonts w:cstheme="minorHAnsi"/>
          <w:sz w:val="14"/>
          <w:szCs w:val="14"/>
        </w:rPr>
        <w:t>пятьсот</w:t>
      </w:r>
      <w:r w:rsidRPr="000E0AA8">
        <w:rPr>
          <w:rFonts w:cstheme="minorHAnsi"/>
          <w:sz w:val="14"/>
          <w:szCs w:val="14"/>
        </w:rPr>
        <w:t xml:space="preserve">) рублей за один выпуск ценных бумаг на счете депо, </w:t>
      </w:r>
      <w:r w:rsidRPr="003D7DB6">
        <w:rPr>
          <w:rFonts w:cstheme="minorHAnsi"/>
          <w:sz w:val="14"/>
          <w:szCs w:val="14"/>
        </w:rPr>
        <w:t>но не более 15 000 (Пятнадцати тысяч) рублей</w:t>
      </w:r>
      <w:r w:rsidRPr="000E0AA8">
        <w:rPr>
          <w:rFonts w:cstheme="minorHAnsi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52C77"/>
    <w:multiLevelType w:val="hybridMultilevel"/>
    <w:tmpl w:val="58E01534"/>
    <w:lvl w:ilvl="0" w:tplc="041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D3FCA"/>
    <w:multiLevelType w:val="hybridMultilevel"/>
    <w:tmpl w:val="9C4A466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641ACA"/>
    <w:multiLevelType w:val="hybridMultilevel"/>
    <w:tmpl w:val="B2EEE69A"/>
    <w:lvl w:ilvl="0" w:tplc="0419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08"/>
        </w:tabs>
        <w:ind w:left="30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28"/>
        </w:tabs>
        <w:ind w:left="1028" w:hanging="360"/>
      </w:pPr>
    </w:lvl>
    <w:lvl w:ilvl="3" w:tplc="04190001">
      <w:start w:val="1"/>
      <w:numFmt w:val="decimal"/>
      <w:lvlText w:val="%4."/>
      <w:lvlJc w:val="left"/>
      <w:pPr>
        <w:tabs>
          <w:tab w:val="num" w:pos="1748"/>
        </w:tabs>
        <w:ind w:left="174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468"/>
        </w:tabs>
        <w:ind w:left="246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188"/>
        </w:tabs>
        <w:ind w:left="3188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08"/>
        </w:tabs>
        <w:ind w:left="390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28"/>
        </w:tabs>
        <w:ind w:left="462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348"/>
        </w:tabs>
        <w:ind w:left="5348" w:hanging="360"/>
      </w:pPr>
    </w:lvl>
  </w:abstractNum>
  <w:abstractNum w:abstractNumId="3" w15:restartNumberingAfterBreak="0">
    <w:nsid w:val="543E0DB6"/>
    <w:multiLevelType w:val="hybridMultilevel"/>
    <w:tmpl w:val="4D3EA4B8"/>
    <w:lvl w:ilvl="0" w:tplc="B66E30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7D"/>
    <w:rsid w:val="00052563"/>
    <w:rsid w:val="00057877"/>
    <w:rsid w:val="00062603"/>
    <w:rsid w:val="000E0AA8"/>
    <w:rsid w:val="000F3674"/>
    <w:rsid w:val="00156408"/>
    <w:rsid w:val="00163172"/>
    <w:rsid w:val="00176357"/>
    <w:rsid w:val="001B6526"/>
    <w:rsid w:val="001C5A3A"/>
    <w:rsid w:val="001E0A46"/>
    <w:rsid w:val="001E6169"/>
    <w:rsid w:val="001F3411"/>
    <w:rsid w:val="002034AA"/>
    <w:rsid w:val="0027643F"/>
    <w:rsid w:val="002C367D"/>
    <w:rsid w:val="002D17C4"/>
    <w:rsid w:val="002E2629"/>
    <w:rsid w:val="00316B4A"/>
    <w:rsid w:val="00356C52"/>
    <w:rsid w:val="00387934"/>
    <w:rsid w:val="003D2287"/>
    <w:rsid w:val="003D7DB6"/>
    <w:rsid w:val="003D7FA6"/>
    <w:rsid w:val="00411760"/>
    <w:rsid w:val="00414595"/>
    <w:rsid w:val="004418B8"/>
    <w:rsid w:val="00483B51"/>
    <w:rsid w:val="00490DDC"/>
    <w:rsid w:val="0051670B"/>
    <w:rsid w:val="005257E9"/>
    <w:rsid w:val="005843E6"/>
    <w:rsid w:val="00587A10"/>
    <w:rsid w:val="0059342F"/>
    <w:rsid w:val="00594976"/>
    <w:rsid w:val="00594D90"/>
    <w:rsid w:val="005B1AEA"/>
    <w:rsid w:val="00610864"/>
    <w:rsid w:val="006511C3"/>
    <w:rsid w:val="006822CF"/>
    <w:rsid w:val="0069251D"/>
    <w:rsid w:val="0069593C"/>
    <w:rsid w:val="0075556F"/>
    <w:rsid w:val="007566C9"/>
    <w:rsid w:val="00763C45"/>
    <w:rsid w:val="007A14A2"/>
    <w:rsid w:val="007B14D9"/>
    <w:rsid w:val="00831C02"/>
    <w:rsid w:val="00855CB8"/>
    <w:rsid w:val="008B5263"/>
    <w:rsid w:val="008C71BE"/>
    <w:rsid w:val="008F3816"/>
    <w:rsid w:val="00960038"/>
    <w:rsid w:val="00967072"/>
    <w:rsid w:val="00986897"/>
    <w:rsid w:val="00A007B5"/>
    <w:rsid w:val="00AF206E"/>
    <w:rsid w:val="00AF7E05"/>
    <w:rsid w:val="00B04919"/>
    <w:rsid w:val="00B63634"/>
    <w:rsid w:val="00B8144A"/>
    <w:rsid w:val="00B93120"/>
    <w:rsid w:val="00BB08B9"/>
    <w:rsid w:val="00C35746"/>
    <w:rsid w:val="00C40149"/>
    <w:rsid w:val="00C40AF4"/>
    <w:rsid w:val="00C47897"/>
    <w:rsid w:val="00C670D0"/>
    <w:rsid w:val="00C9055C"/>
    <w:rsid w:val="00CD01FA"/>
    <w:rsid w:val="00CE2549"/>
    <w:rsid w:val="00D01BBB"/>
    <w:rsid w:val="00D17A8E"/>
    <w:rsid w:val="00D23F65"/>
    <w:rsid w:val="00D60EAA"/>
    <w:rsid w:val="00D701B1"/>
    <w:rsid w:val="00DC5886"/>
    <w:rsid w:val="00E03F79"/>
    <w:rsid w:val="00E2040B"/>
    <w:rsid w:val="00E46578"/>
    <w:rsid w:val="00E90A92"/>
    <w:rsid w:val="00EC703A"/>
    <w:rsid w:val="00EE7E19"/>
    <w:rsid w:val="00F91AB1"/>
    <w:rsid w:val="00F94BC2"/>
    <w:rsid w:val="00FB4881"/>
    <w:rsid w:val="00FF2730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F613"/>
  <w15:docId w15:val="{A71F9084-999B-4F87-98B0-EDFE486F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51"/>
    <w:pPr>
      <w:spacing w:after="0" w:line="240" w:lineRule="auto"/>
    </w:pPr>
  </w:style>
  <w:style w:type="paragraph" w:styleId="a4">
    <w:name w:val="footnote text"/>
    <w:basedOn w:val="a"/>
    <w:link w:val="a5"/>
    <w:uiPriority w:val="99"/>
    <w:unhideWhenUsed/>
    <w:rsid w:val="00483B5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83B5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83B51"/>
    <w:rPr>
      <w:vertAlign w:val="superscript"/>
    </w:rPr>
  </w:style>
  <w:style w:type="paragraph" w:styleId="a7">
    <w:name w:val="List Paragraph"/>
    <w:basedOn w:val="a"/>
    <w:uiPriority w:val="34"/>
    <w:qFormat/>
    <w:rsid w:val="00FF2730"/>
    <w:pPr>
      <w:spacing w:line="240" w:lineRule="auto"/>
      <w:ind w:left="720"/>
      <w:contextualSpacing/>
      <w:jc w:val="both"/>
    </w:pPr>
    <w:rPr>
      <w:rFonts w:eastAsiaTheme="minorEastAsia"/>
      <w:sz w:val="24"/>
      <w:szCs w:val="24"/>
      <w:lang w:eastAsia="ja-JP"/>
    </w:rPr>
  </w:style>
  <w:style w:type="table" w:styleId="a8">
    <w:name w:val="Table Grid"/>
    <w:basedOn w:val="a1"/>
    <w:uiPriority w:val="59"/>
    <w:rsid w:val="008C71BE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17C4"/>
  </w:style>
  <w:style w:type="paragraph" w:styleId="ab">
    <w:name w:val="footer"/>
    <w:basedOn w:val="a"/>
    <w:link w:val="ac"/>
    <w:uiPriority w:val="99"/>
    <w:unhideWhenUsed/>
    <w:rsid w:val="002D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17C4"/>
  </w:style>
  <w:style w:type="character" w:styleId="ad">
    <w:name w:val="annotation reference"/>
    <w:basedOn w:val="a0"/>
    <w:uiPriority w:val="99"/>
    <w:semiHidden/>
    <w:unhideWhenUsed/>
    <w:rsid w:val="00610864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61086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61086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086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10864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61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10864"/>
    <w:rPr>
      <w:rFonts w:ascii="Tahoma" w:hAnsi="Tahoma" w:cs="Tahoma"/>
      <w:sz w:val="16"/>
      <w:szCs w:val="16"/>
    </w:rPr>
  </w:style>
  <w:style w:type="paragraph" w:styleId="af4">
    <w:name w:val="endnote text"/>
    <w:basedOn w:val="a"/>
    <w:link w:val="af5"/>
    <w:uiPriority w:val="99"/>
    <w:semiHidden/>
    <w:unhideWhenUsed/>
    <w:rsid w:val="000E0AA8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E0AA8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E0A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3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AED7-DA4C-4330-82AF-A8B9818F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1807</Words>
  <Characters>10306</Characters>
  <Application>Microsoft Office Word</Application>
  <DocSecurity>4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Алраменкова Алена Андреевна</dc:creator>
  <cp:lastModifiedBy>Алена Арламенкова</cp:lastModifiedBy>
  <cp:revision>2</cp:revision>
  <cp:lastPrinted>2024-02-28T08:01:00Z</cp:lastPrinted>
  <dcterms:created xsi:type="dcterms:W3CDTF">2024-03-25T09:10:00Z</dcterms:created>
  <dcterms:modified xsi:type="dcterms:W3CDTF">2024-03-25T09:10:00Z</dcterms:modified>
</cp:coreProperties>
</file>